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24DB024" w:rsidR="00A32B38" w:rsidRPr="00E470EE" w:rsidRDefault="00E5135C" w:rsidP="00A32B38">
            <w:pPr>
              <w:spacing w:after="0" w:line="240" w:lineRule="auto"/>
              <w:rPr>
                <w:rFonts w:ascii="Times New Roman" w:hAnsi="Times New Roman"/>
                <w:i/>
                <w:iCs/>
              </w:rPr>
            </w:pPr>
            <w:r w:rsidRPr="00E470EE">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C07B52C" w:rsidR="00FD0711" w:rsidRPr="00E5135C" w:rsidRDefault="00A918EA" w:rsidP="000B3BD0">
            <w:pPr>
              <w:spacing w:after="0" w:line="240" w:lineRule="auto"/>
              <w:rPr>
                <w:rFonts w:ascii="Times New Roman" w:hAnsi="Times New Roman"/>
              </w:rPr>
            </w:pPr>
            <w:r>
              <w:rPr>
                <w:rFonts w:ascii="Times New Roman" w:hAnsi="Times New Roman"/>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6693A4F" w:rsidR="004F426F" w:rsidRPr="00E5135C" w:rsidRDefault="00A918EA" w:rsidP="000B3BD0">
            <w:pPr>
              <w:spacing w:after="0" w:line="240" w:lineRule="auto"/>
              <w:rPr>
                <w:rFonts w:ascii="Times New Roman" w:hAnsi="Times New Roman"/>
              </w:rPr>
            </w:pPr>
            <w:r>
              <w:rPr>
                <w:rFonts w:ascii="Times New Roman" w:hAnsi="Times New Roman"/>
              </w:rPr>
              <w:t>Pit</w:t>
            </w:r>
            <w:r w:rsidR="004F426F" w:rsidRPr="00E5135C">
              <w:rPr>
                <w:rFonts w:ascii="Times New Roman" w:hAnsi="Times New Roman"/>
              </w:rPr>
              <w:t>ești</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352CA16B" w:rsidR="00532F3D" w:rsidRPr="008D3650"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w:t>
            </w:r>
            <w:r w:rsidR="008D3650">
              <w:rPr>
                <w:rFonts w:ascii="Times New Roman" w:hAnsi="Times New Roman"/>
                <w:sz w:val="24"/>
                <w:szCs w:val="24"/>
              </w:rPr>
              <w:t>ei</w:t>
            </w:r>
          </w:p>
        </w:tc>
        <w:tc>
          <w:tcPr>
            <w:tcW w:w="7159" w:type="dxa"/>
            <w:gridSpan w:val="8"/>
          </w:tcPr>
          <w:p w14:paraId="45D92A39" w14:textId="0B22E36C" w:rsidR="00114821" w:rsidRDefault="00114821" w:rsidP="00114821">
            <w:pPr>
              <w:rPr>
                <w:color w:val="000000"/>
                <w:sz w:val="20"/>
                <w:szCs w:val="20"/>
              </w:rPr>
            </w:pPr>
            <w:r w:rsidRPr="00114821">
              <w:rPr>
                <w:rFonts w:ascii="Times New Roman" w:hAnsi="Times New Roman"/>
                <w:i/>
                <w:iCs/>
                <w:color w:val="000000"/>
              </w:rPr>
              <w:t>Politici lingvistice și educaționale</w:t>
            </w:r>
          </w:p>
          <w:p w14:paraId="3996590F" w14:textId="3735A832" w:rsidR="001F003F" w:rsidRPr="00932625" w:rsidRDefault="001F003F" w:rsidP="00932625">
            <w:pPr>
              <w:spacing w:after="0" w:line="240" w:lineRule="auto"/>
              <w:jc w:val="both"/>
              <w:rPr>
                <w:rFonts w:ascii="Times New Roman" w:hAnsi="Times New Roman"/>
                <w:b/>
                <w:bCs/>
                <w:i/>
                <w:iCs/>
                <w:sz w:val="24"/>
                <w:szCs w:val="24"/>
                <w:highlight w:val="yellow"/>
              </w:rPr>
            </w:pP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36117B3F"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w:t>
            </w:r>
            <w:r w:rsidR="00A918EA">
              <w:rPr>
                <w:rFonts w:ascii="Times New Roman" w:hAnsi="Times New Roman"/>
                <w:sz w:val="24"/>
                <w:szCs w:val="24"/>
              </w:rPr>
              <w:t xml:space="preserve"> </w:t>
            </w:r>
            <w:r w:rsidR="00FA71C0">
              <w:rPr>
                <w:rFonts w:ascii="Times New Roman" w:hAnsi="Times New Roman"/>
                <w:sz w:val="24"/>
                <w:szCs w:val="24"/>
              </w:rPr>
              <w:t>Ilinca Elena-Cristina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FD0711" w:rsidRPr="00FF4C55" w:rsidRDefault="00700487" w:rsidP="000B3BD0">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11871913" w:rsidR="00FD0711" w:rsidRPr="00FF4C55" w:rsidRDefault="00114821"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1B104F01" w:rsidR="00204311" w:rsidRPr="00FF4C55" w:rsidRDefault="00CD269A"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18A315D8" w:rsidR="00204311" w:rsidRPr="00114821" w:rsidRDefault="0008078C" w:rsidP="000B3BD0">
            <w:pPr>
              <w:spacing w:after="0" w:line="240" w:lineRule="auto"/>
              <w:rPr>
                <w:rFonts w:ascii="Times New Roman" w:hAnsi="Times New Roman"/>
                <w:sz w:val="24"/>
                <w:szCs w:val="24"/>
              </w:rPr>
            </w:pPr>
            <w:r w:rsidRPr="0008078C">
              <w:rPr>
                <w:rFonts w:ascii="Times New Roman" w:hAnsi="Times New Roman"/>
                <w:sz w:val="24"/>
                <w:szCs w:val="24"/>
              </w:rPr>
              <w:t>P.M.23.F.11.I.Ob.02.</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A7AA0D7" w:rsidR="00FD0711" w:rsidRPr="00FF4C55" w:rsidRDefault="00C116E4"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1FE162A1" w:rsidR="00FD0711" w:rsidRPr="00FF4C55" w:rsidRDefault="00FD0711" w:rsidP="000B3BD0">
            <w:pPr>
              <w:spacing w:after="0" w:line="240" w:lineRule="auto"/>
              <w:rPr>
                <w:rFonts w:ascii="Times New Roman" w:hAnsi="Times New Roman"/>
                <w:sz w:val="24"/>
                <w:szCs w:val="24"/>
              </w:rPr>
            </w:pP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7EFB0B0" w:rsidR="00FD0711" w:rsidRPr="00FF4C55" w:rsidRDefault="00E85C51"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7A962A01" w:rsidR="00FD0711" w:rsidRPr="0007194F" w:rsidRDefault="00FD0711" w:rsidP="000B3BD0">
            <w:pPr>
              <w:spacing w:after="0" w:line="240" w:lineRule="auto"/>
              <w:rPr>
                <w:rFonts w:ascii="Times New Roman" w:hAnsi="Times New Roman"/>
                <w:sz w:val="24"/>
                <w:szCs w:val="24"/>
              </w:rPr>
            </w:pP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1BE28193" w:rsidR="0065472F" w:rsidRPr="008C3D44" w:rsidRDefault="00CD269A" w:rsidP="008C3D44">
            <w:pPr>
              <w:spacing w:after="0" w:line="240" w:lineRule="auto"/>
              <w:jc w:val="center"/>
              <w:rPr>
                <w:rFonts w:ascii="Times New Roman" w:hAnsi="Times New Roman"/>
                <w:sz w:val="20"/>
                <w:szCs w:val="20"/>
              </w:rPr>
            </w:pPr>
            <w:r>
              <w:rPr>
                <w:rFonts w:ascii="Times New Roman" w:hAnsi="Times New Roman"/>
                <w:sz w:val="20"/>
                <w:szCs w:val="20"/>
              </w:rPr>
              <w:t>110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46AC25ED" w:rsidR="00FD0711" w:rsidRPr="00C17415" w:rsidRDefault="00CD269A" w:rsidP="000B3BD0">
            <w:pPr>
              <w:spacing w:after="0" w:line="240" w:lineRule="auto"/>
              <w:jc w:val="center"/>
              <w:rPr>
                <w:rFonts w:ascii="Times New Roman" w:hAnsi="Times New Roman"/>
                <w:b/>
                <w:bCs/>
                <w:sz w:val="24"/>
                <w:szCs w:val="24"/>
              </w:rPr>
            </w:pPr>
            <w:r>
              <w:rPr>
                <w:rFonts w:ascii="Times New Roman" w:hAnsi="Times New Roman"/>
                <w:b/>
                <w:bCs/>
                <w:sz w:val="24"/>
                <w:szCs w:val="24"/>
              </w:rPr>
              <w:t>122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74FE95C" w:rsidR="00FD0711" w:rsidRPr="00C17415" w:rsidRDefault="00C17415" w:rsidP="000B3BD0">
            <w:pPr>
              <w:spacing w:after="0" w:line="240" w:lineRule="auto"/>
              <w:jc w:val="center"/>
              <w:rPr>
                <w:rFonts w:ascii="Times New Roman" w:hAnsi="Times New Roman"/>
                <w:b/>
                <w:bCs/>
                <w:sz w:val="24"/>
                <w:szCs w:val="24"/>
              </w:rPr>
            </w:pPr>
            <w:r w:rsidRPr="00C17415">
              <w:rPr>
                <w:rFonts w:ascii="Times New Roman" w:hAnsi="Times New Roman"/>
                <w:b/>
                <w:bCs/>
                <w:sz w:val="24"/>
                <w:szCs w:val="24"/>
              </w:rPr>
              <w:t>1</w:t>
            </w:r>
            <w:r w:rsidR="00CD269A">
              <w:rPr>
                <w:rFonts w:ascii="Times New Roman" w:hAnsi="Times New Roman"/>
                <w:b/>
                <w:bCs/>
                <w:sz w:val="24"/>
                <w:szCs w:val="24"/>
              </w:rPr>
              <w:t>50</w:t>
            </w:r>
            <w:r>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1370D74C" w:rsidR="00FD0711" w:rsidRPr="007F393B" w:rsidRDefault="00CD269A"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4080BC5C" w14:textId="16C9CD4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9C7988">
        <w:trPr>
          <w:trHeight w:val="364"/>
        </w:trPr>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2D485006" w:rsidR="008421F0" w:rsidRPr="00C17415" w:rsidRDefault="009C7988" w:rsidP="00F23368">
            <w:pPr>
              <w:jc w:val="both"/>
              <w:rPr>
                <w:rFonts w:ascii="Times New Roman" w:hAnsi="Times New Roman"/>
                <w:sz w:val="24"/>
                <w:szCs w:val="24"/>
                <w:highlight w:val="yellow"/>
              </w:rPr>
            </w:pPr>
            <w:r w:rsidRPr="00F23368">
              <w:rPr>
                <w:rFonts w:ascii="Times New Roman" w:hAnsi="Times New Roman"/>
                <w:sz w:val="24"/>
                <w:szCs w:val="24"/>
              </w:rPr>
              <w:t>Utilizarea cunoştinţelor generale de limbă pentru înţelegerea şi aprofundarea noţiunilor referitoare la fenomenul politicilor lingvistice</w:t>
            </w:r>
            <w:r w:rsidRPr="00F23368">
              <w:t>.</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0E7E3CA3"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55F750D6" w14:textId="5052575B" w:rsidR="00E97EE0" w:rsidRDefault="00662824"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00CD269A" w:rsidRPr="00CD269A">
        <w:rPr>
          <w:rFonts w:ascii="Times New Roman" w:hAnsi="Times New Roman"/>
          <w:sz w:val="24"/>
          <w:szCs w:val="24"/>
        </w:rPr>
        <w:t>Dobândirea unei înțelegeri critice și aplicate a politicilor lingvistice în context educațional și social, prin explorarea fundamentelor teoretice, analiza deciziilor lingvistice instituționale și studierea cazurilor concrete, cu accent pe provocările actuale legate de plurilingvism, diversitate lingvistică și educație.</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bookmarkEnd w:id="0"/>
    <w:p w14:paraId="744A0063" w14:textId="48630882" w:rsidR="00CD269A" w:rsidRPr="00CD269A" w:rsidRDefault="00CD269A" w:rsidP="00CD269A">
      <w:pPr>
        <w:tabs>
          <w:tab w:val="num" w:pos="720"/>
        </w:tabs>
        <w:spacing w:after="0" w:line="240" w:lineRule="auto"/>
        <w:jc w:val="both"/>
        <w:rPr>
          <w:rFonts w:ascii="Times New Roman" w:hAnsi="Times New Roman"/>
          <w:sz w:val="24"/>
          <w:szCs w:val="24"/>
        </w:rPr>
      </w:pPr>
      <w:r>
        <w:rPr>
          <w:rFonts w:ascii="Times New Roman" w:hAnsi="Times New Roman"/>
          <w:sz w:val="24"/>
          <w:szCs w:val="24"/>
        </w:rPr>
        <w:t xml:space="preserve">- </w:t>
      </w:r>
      <w:r w:rsidRPr="00CD269A">
        <w:rPr>
          <w:rFonts w:ascii="Times New Roman" w:hAnsi="Times New Roman"/>
          <w:sz w:val="24"/>
          <w:szCs w:val="24"/>
        </w:rPr>
        <w:t>Înțelegerea fundamentelor teoretice ale politicilor lingvistice</w:t>
      </w:r>
    </w:p>
    <w:p w14:paraId="55FDC83B" w14:textId="2D1586D9" w:rsidR="00CD269A" w:rsidRPr="00CD269A" w:rsidRDefault="00CD269A" w:rsidP="00CD269A">
      <w:pPr>
        <w:tabs>
          <w:tab w:val="num" w:pos="720"/>
        </w:tabs>
        <w:spacing w:after="0" w:line="240" w:lineRule="auto"/>
        <w:jc w:val="both"/>
        <w:rPr>
          <w:rFonts w:ascii="Times New Roman" w:hAnsi="Times New Roman"/>
          <w:sz w:val="24"/>
          <w:szCs w:val="24"/>
        </w:rPr>
      </w:pPr>
      <w:r>
        <w:rPr>
          <w:rFonts w:ascii="Times New Roman" w:hAnsi="Times New Roman"/>
          <w:sz w:val="24"/>
          <w:szCs w:val="24"/>
        </w:rPr>
        <w:t xml:space="preserve">- </w:t>
      </w:r>
      <w:r w:rsidRPr="00CD269A">
        <w:rPr>
          <w:rFonts w:ascii="Times New Roman" w:hAnsi="Times New Roman"/>
          <w:sz w:val="24"/>
          <w:szCs w:val="24"/>
        </w:rPr>
        <w:t>Analiza opțiunilor lingvistice din sistemele educaționale</w:t>
      </w:r>
    </w:p>
    <w:p w14:paraId="03F7596D" w14:textId="7A58B4EE" w:rsidR="00CD269A" w:rsidRPr="00CD269A" w:rsidRDefault="00CD269A" w:rsidP="00CD269A">
      <w:pPr>
        <w:tabs>
          <w:tab w:val="num" w:pos="720"/>
        </w:tabs>
        <w:spacing w:after="0" w:line="240" w:lineRule="auto"/>
        <w:jc w:val="both"/>
        <w:rPr>
          <w:rFonts w:ascii="Times New Roman" w:hAnsi="Times New Roman"/>
          <w:sz w:val="24"/>
          <w:szCs w:val="24"/>
        </w:rPr>
      </w:pPr>
      <w:r>
        <w:rPr>
          <w:rFonts w:ascii="Times New Roman" w:hAnsi="Times New Roman"/>
          <w:sz w:val="24"/>
          <w:szCs w:val="24"/>
        </w:rPr>
        <w:t xml:space="preserve">- </w:t>
      </w:r>
      <w:r w:rsidRPr="00CD269A">
        <w:rPr>
          <w:rFonts w:ascii="Times New Roman" w:hAnsi="Times New Roman"/>
          <w:sz w:val="24"/>
          <w:szCs w:val="24"/>
        </w:rPr>
        <w:t>Studierea unor cazuri concrete de politici lingvistice din diverse țări</w:t>
      </w:r>
    </w:p>
    <w:p w14:paraId="432E63D8" w14:textId="0B7CF9D2" w:rsidR="00CD269A" w:rsidRPr="00CD269A" w:rsidRDefault="00CD269A" w:rsidP="00CD269A">
      <w:pPr>
        <w:tabs>
          <w:tab w:val="num" w:pos="720"/>
        </w:tabs>
        <w:spacing w:after="0" w:line="240" w:lineRule="auto"/>
        <w:jc w:val="both"/>
        <w:rPr>
          <w:rFonts w:ascii="Times New Roman" w:hAnsi="Times New Roman"/>
          <w:sz w:val="24"/>
          <w:szCs w:val="24"/>
        </w:rPr>
      </w:pPr>
      <w:r>
        <w:rPr>
          <w:rFonts w:ascii="Times New Roman" w:hAnsi="Times New Roman"/>
          <w:sz w:val="24"/>
          <w:szCs w:val="24"/>
        </w:rPr>
        <w:t xml:space="preserve">- </w:t>
      </w:r>
      <w:r w:rsidRPr="00CD269A">
        <w:rPr>
          <w:rFonts w:ascii="Times New Roman" w:hAnsi="Times New Roman"/>
          <w:sz w:val="24"/>
          <w:szCs w:val="24"/>
        </w:rPr>
        <w:t>Reflecție asupra provocărilor contemporane legate de plurilingvism, diversitate lingvistică și educație</w:t>
      </w:r>
    </w:p>
    <w:p w14:paraId="31418087" w14:textId="77777777" w:rsidR="00CD269A" w:rsidRDefault="00CD269A" w:rsidP="000B3BD0">
      <w:pPr>
        <w:spacing w:line="240" w:lineRule="auto"/>
        <w:jc w:val="both"/>
        <w:rPr>
          <w:sz w:val="20"/>
          <w:szCs w:val="20"/>
        </w:rPr>
      </w:pPr>
    </w:p>
    <w:p w14:paraId="212379C1" w14:textId="1BD77DDE"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2F055BC4" w:rsidR="00B34B0F" w:rsidRPr="00E351E5" w:rsidRDefault="00B34B0F" w:rsidP="00E351E5">
      <w:pPr>
        <w:rPr>
          <w:color w:val="000000"/>
          <w:sz w:val="20"/>
          <w:szCs w:val="20"/>
        </w:rPr>
      </w:pPr>
      <w:r w:rsidRPr="00A918EA">
        <w:rPr>
          <w:rFonts w:ascii="Times New Roman" w:hAnsi="Times New Roman"/>
          <w:bCs/>
          <w:sz w:val="24"/>
          <w:szCs w:val="24"/>
        </w:rPr>
        <w:t>Competențele asociate disciplinei</w:t>
      </w:r>
      <w:r w:rsidR="00E351E5">
        <w:rPr>
          <w:rFonts w:ascii="Times New Roman" w:hAnsi="Times New Roman"/>
          <w:b/>
          <w:sz w:val="24"/>
          <w:szCs w:val="24"/>
        </w:rPr>
        <w:t xml:space="preserve"> </w:t>
      </w:r>
      <w:r w:rsidR="00E351E5" w:rsidRPr="00114821">
        <w:rPr>
          <w:rFonts w:ascii="Times New Roman" w:hAnsi="Times New Roman"/>
          <w:i/>
          <w:iCs/>
          <w:color w:val="000000"/>
        </w:rPr>
        <w:t>Politici lingvistice și educaționale</w:t>
      </w:r>
      <w:r w:rsidRPr="00A918EA">
        <w:rPr>
          <w:rFonts w:ascii="Times New Roman" w:hAnsi="Times New Roman"/>
          <w:i/>
          <w:iCs/>
          <w:sz w:val="24"/>
          <w:szCs w:val="24"/>
        </w:rPr>
        <w:t xml:space="preserve"> </w:t>
      </w:r>
      <w:r w:rsidRPr="00A918EA">
        <w:rPr>
          <w:rFonts w:ascii="Times New Roman" w:hAnsi="Times New Roman"/>
          <w:sz w:val="24"/>
          <w:szCs w:val="24"/>
        </w:rPr>
        <w:t>sunt corelate cu următoarele rezultate ale învățării.</w:t>
      </w:r>
    </w:p>
    <w:p w14:paraId="61B43CB6" w14:textId="326F080D" w:rsidR="00B34B0F" w:rsidRPr="00CD269A" w:rsidRDefault="00D93C5F" w:rsidP="00CD269A">
      <w:pPr>
        <w:spacing w:after="0"/>
        <w:jc w:val="both"/>
        <w:rPr>
          <w:rFonts w:ascii="Times New Roman" w:hAnsi="Times New Roman"/>
          <w:color w:val="000000"/>
          <w:sz w:val="24"/>
          <w:szCs w:val="24"/>
        </w:rPr>
      </w:pPr>
      <w:r w:rsidRPr="00235F03">
        <w:rPr>
          <w:rFonts w:ascii="Times New Roman" w:hAnsi="Times New Roman"/>
          <w:b/>
          <w:bCs/>
          <w:color w:val="000000"/>
          <w:sz w:val="24"/>
          <w:szCs w:val="24"/>
        </w:rPr>
        <w:t>C</w:t>
      </w:r>
      <w:r w:rsidR="00CD269A">
        <w:rPr>
          <w:rFonts w:ascii="Times New Roman" w:hAnsi="Times New Roman"/>
          <w:b/>
          <w:bCs/>
          <w:color w:val="000000"/>
          <w:sz w:val="24"/>
          <w:szCs w:val="24"/>
        </w:rPr>
        <w:t>P</w:t>
      </w:r>
      <w:r w:rsidRPr="00235F03">
        <w:rPr>
          <w:rFonts w:ascii="Times New Roman" w:hAnsi="Times New Roman"/>
          <w:b/>
          <w:bCs/>
          <w:color w:val="000000"/>
          <w:sz w:val="24"/>
          <w:szCs w:val="24"/>
        </w:rPr>
        <w:t>1</w:t>
      </w:r>
      <w:r w:rsidRPr="00235F03">
        <w:rPr>
          <w:rFonts w:ascii="Times New Roman" w:hAnsi="Times New Roman"/>
          <w:color w:val="000000"/>
          <w:sz w:val="24"/>
          <w:szCs w:val="24"/>
        </w:rPr>
        <w:t xml:space="preserve"> </w:t>
      </w:r>
      <w:r w:rsidRPr="00CD269A">
        <w:rPr>
          <w:rFonts w:ascii="Times New Roman" w:hAnsi="Times New Roman"/>
          <w:color w:val="000000"/>
          <w:sz w:val="24"/>
          <w:szCs w:val="24"/>
        </w:rPr>
        <w:t>Dezvoltă o strategie de traducere</w:t>
      </w:r>
      <w:r w:rsidR="008C09D4" w:rsidRPr="00CD269A">
        <w:rPr>
          <w:rFonts w:ascii="Times New Roman" w:hAnsi="Times New Roman"/>
          <w:color w:val="000000"/>
          <w:sz w:val="24"/>
          <w:szCs w:val="24"/>
        </w:rPr>
        <w:t xml:space="preserve"> (3</w:t>
      </w:r>
      <w:r w:rsidR="001C2A0D" w:rsidRPr="00CD269A">
        <w:rPr>
          <w:rFonts w:ascii="Times New Roman" w:hAnsi="Times New Roman"/>
          <w:color w:val="000000"/>
          <w:sz w:val="24"/>
          <w:szCs w:val="24"/>
        </w:rPr>
        <w:t xml:space="preserve"> </w:t>
      </w:r>
      <w:r w:rsidR="008C09D4" w:rsidRPr="00CD269A">
        <w:rPr>
          <w:rFonts w:ascii="Times New Roman" w:hAnsi="Times New Roman"/>
          <w:color w:val="000000"/>
          <w:sz w:val="24"/>
          <w:szCs w:val="24"/>
        </w:rPr>
        <w:t>ECTS)</w:t>
      </w:r>
      <w:r w:rsidR="00CD269A">
        <w:rPr>
          <w:rFonts w:ascii="Times New Roman" w:hAnsi="Times New Roman"/>
          <w:color w:val="000000"/>
          <w:sz w:val="24"/>
          <w:szCs w:val="24"/>
        </w:rPr>
        <w:t>.</w:t>
      </w:r>
    </w:p>
    <w:p w14:paraId="1AA5D8B2" w14:textId="27D13267" w:rsidR="00CD269A" w:rsidRPr="00CD269A" w:rsidRDefault="00CD269A" w:rsidP="00CD269A">
      <w:pPr>
        <w:spacing w:after="0"/>
        <w:jc w:val="both"/>
        <w:rPr>
          <w:rFonts w:ascii="Times New Roman" w:hAnsi="Times New Roman"/>
          <w:color w:val="000000"/>
          <w:sz w:val="24"/>
          <w:szCs w:val="24"/>
        </w:rPr>
      </w:pPr>
      <w:r w:rsidRPr="00CD269A">
        <w:rPr>
          <w:rFonts w:ascii="Times New Roman" w:hAnsi="Times New Roman"/>
          <w:b/>
          <w:bCs/>
          <w:color w:val="000000"/>
          <w:sz w:val="24"/>
          <w:szCs w:val="24"/>
        </w:rPr>
        <w:t>C</w:t>
      </w:r>
      <w:r>
        <w:rPr>
          <w:rFonts w:ascii="Times New Roman" w:hAnsi="Times New Roman"/>
          <w:b/>
          <w:bCs/>
          <w:color w:val="000000"/>
          <w:sz w:val="24"/>
          <w:szCs w:val="24"/>
        </w:rPr>
        <w:t>P</w:t>
      </w:r>
      <w:r w:rsidRPr="00CD269A">
        <w:rPr>
          <w:rFonts w:ascii="Times New Roman" w:hAnsi="Times New Roman"/>
          <w:b/>
          <w:bCs/>
          <w:color w:val="000000"/>
          <w:sz w:val="24"/>
          <w:szCs w:val="24"/>
        </w:rPr>
        <w:t xml:space="preserve">2 </w:t>
      </w:r>
      <w:r w:rsidRPr="00CD269A">
        <w:rPr>
          <w:rFonts w:ascii="Times New Roman" w:hAnsi="Times New Roman"/>
          <w:color w:val="000000"/>
          <w:sz w:val="24"/>
          <w:szCs w:val="24"/>
        </w:rPr>
        <w:t>Utilizează tehnici de traducere (1 ECTS)</w:t>
      </w:r>
    </w:p>
    <w:p w14:paraId="27D0DF91" w14:textId="5DB1625D" w:rsidR="00B34B0F" w:rsidRPr="00235F03" w:rsidRDefault="00D93C5F" w:rsidP="00CD269A">
      <w:pPr>
        <w:spacing w:after="0"/>
        <w:jc w:val="both"/>
        <w:rPr>
          <w:rFonts w:ascii="Times New Roman" w:hAnsi="Times New Roman"/>
          <w:b/>
          <w:bCs/>
          <w:color w:val="000000"/>
          <w:sz w:val="24"/>
          <w:szCs w:val="24"/>
        </w:rPr>
      </w:pPr>
      <w:r w:rsidRPr="00235F03">
        <w:rPr>
          <w:rFonts w:ascii="Times New Roman" w:hAnsi="Times New Roman"/>
          <w:b/>
          <w:bCs/>
          <w:color w:val="000000"/>
          <w:sz w:val="24"/>
          <w:szCs w:val="24"/>
        </w:rPr>
        <w:t>CT2</w:t>
      </w:r>
      <w:r w:rsidRPr="00235F03">
        <w:rPr>
          <w:rFonts w:ascii="Times New Roman" w:hAnsi="Times New Roman"/>
          <w:color w:val="000000"/>
          <w:sz w:val="24"/>
          <w:szCs w:val="24"/>
        </w:rPr>
        <w:t xml:space="preserve"> </w:t>
      </w:r>
      <w:r w:rsidRPr="00CD269A">
        <w:rPr>
          <w:rFonts w:ascii="Times New Roman" w:hAnsi="Times New Roman"/>
          <w:color w:val="000000"/>
          <w:sz w:val="24"/>
          <w:szCs w:val="24"/>
        </w:rPr>
        <w:t>Dă dovadă de competență interculturală</w:t>
      </w:r>
      <w:r w:rsidR="008C09D4" w:rsidRPr="00CD269A">
        <w:rPr>
          <w:rFonts w:ascii="Times New Roman" w:hAnsi="Times New Roman"/>
          <w:color w:val="000000"/>
          <w:sz w:val="24"/>
          <w:szCs w:val="24"/>
        </w:rPr>
        <w:t xml:space="preserve"> (2</w:t>
      </w:r>
      <w:r w:rsidR="001C2A0D" w:rsidRPr="00CD269A">
        <w:rPr>
          <w:rFonts w:ascii="Times New Roman" w:hAnsi="Times New Roman"/>
          <w:color w:val="000000"/>
          <w:sz w:val="24"/>
          <w:szCs w:val="24"/>
        </w:rPr>
        <w:t xml:space="preserve"> </w:t>
      </w:r>
      <w:r w:rsidR="008C09D4" w:rsidRPr="00CD269A">
        <w:rPr>
          <w:rFonts w:ascii="Times New Roman" w:hAnsi="Times New Roman"/>
          <w:color w:val="000000"/>
          <w:sz w:val="24"/>
          <w:szCs w:val="24"/>
        </w:rPr>
        <w:t>ECTS)</w:t>
      </w:r>
    </w:p>
    <w:p w14:paraId="581229AD" w14:textId="12BE714B" w:rsidR="0091383B" w:rsidRPr="007927E2" w:rsidRDefault="0091383B" w:rsidP="00B34B0F">
      <w:pPr>
        <w:pStyle w:val="ListParagraph"/>
        <w:spacing w:after="160" w:line="278" w:lineRule="auto"/>
        <w:rPr>
          <w:rFonts w:ascii="Times New Roman" w:hAnsi="Times New Roman"/>
          <w:i/>
          <w:iCs/>
          <w:color w:val="7F7F7F" w:themeColor="text1" w:themeTint="80"/>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8560F4">
        <w:trPr>
          <w:cantSplit/>
          <w:trHeight w:val="1975"/>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720010E0" w14:textId="77777777" w:rsidR="00235F03" w:rsidRDefault="008560F4" w:rsidP="008560F4">
            <w:pPr>
              <w:spacing w:after="0" w:line="240" w:lineRule="auto"/>
              <w:jc w:val="both"/>
              <w:rPr>
                <w:sz w:val="20"/>
              </w:rPr>
            </w:pPr>
            <w:r w:rsidRPr="008560F4">
              <w:rPr>
                <w:b/>
                <w:bCs/>
                <w:sz w:val="20"/>
              </w:rPr>
              <w:t>C1.</w:t>
            </w:r>
            <w:r w:rsidRPr="008560F4">
              <w:rPr>
                <w:sz w:val="20"/>
              </w:rPr>
              <w:t xml:space="preserve"> Studentul/absolventul înțelege tipurile de probleme (lexicale, sintactice, culturale, stilistice, terminologice) și identifică factori care generează dificultăți de traducere.</w:t>
            </w:r>
          </w:p>
          <w:p w14:paraId="48F49B7E" w14:textId="77777777" w:rsidR="008560F4" w:rsidRDefault="008560F4" w:rsidP="008560F4">
            <w:pPr>
              <w:spacing w:after="0" w:line="240" w:lineRule="auto"/>
              <w:jc w:val="both"/>
              <w:rPr>
                <w:sz w:val="20"/>
              </w:rPr>
            </w:pPr>
            <w:r w:rsidRPr="00DF657F">
              <w:rPr>
                <w:b/>
                <w:bCs/>
                <w:sz w:val="20"/>
              </w:rPr>
              <w:t>C</w:t>
            </w:r>
            <w:r>
              <w:rPr>
                <w:b/>
                <w:bCs/>
                <w:sz w:val="20"/>
              </w:rPr>
              <w:t>2</w:t>
            </w:r>
            <w:r w:rsidRPr="00DF657F">
              <w:rPr>
                <w:b/>
                <w:bCs/>
                <w:sz w:val="20"/>
              </w:rPr>
              <w:t>.</w:t>
            </w:r>
            <w:r>
              <w:rPr>
                <w:sz w:val="20"/>
              </w:rPr>
              <w:t xml:space="preserve"> Studentul/absolventul explică strategiile de </w:t>
            </w:r>
            <w:r w:rsidRPr="00895DF9">
              <w:rPr>
                <w:sz w:val="20"/>
              </w:rPr>
              <w:t>aborda</w:t>
            </w:r>
            <w:r>
              <w:rPr>
                <w:sz w:val="20"/>
              </w:rPr>
              <w:t>re a</w:t>
            </w:r>
            <w:r w:rsidRPr="00895DF9">
              <w:rPr>
                <w:sz w:val="20"/>
              </w:rPr>
              <w:t xml:space="preserve"> textul</w:t>
            </w:r>
            <w:r>
              <w:rPr>
                <w:sz w:val="20"/>
              </w:rPr>
              <w:t>ui</w:t>
            </w:r>
            <w:r w:rsidRPr="00895DF9">
              <w:rPr>
                <w:sz w:val="20"/>
              </w:rPr>
              <w:t xml:space="preserve"> într-un mod sistematic și conștient</w:t>
            </w:r>
            <w:r>
              <w:rPr>
                <w:sz w:val="20"/>
              </w:rPr>
              <w:t xml:space="preserve"> </w:t>
            </w:r>
            <w:r w:rsidRPr="00895DF9">
              <w:rPr>
                <w:sz w:val="20"/>
              </w:rPr>
              <w:t>în funcție de tipul de text și de scopul comunicării</w:t>
            </w:r>
            <w:r>
              <w:rPr>
                <w:sz w:val="20"/>
              </w:rPr>
              <w:t xml:space="preserve"> și distinge </w:t>
            </w:r>
            <w:r w:rsidRPr="00895DF9">
              <w:rPr>
                <w:sz w:val="20"/>
              </w:rPr>
              <w:t xml:space="preserve">terminologia generală </w:t>
            </w:r>
            <w:r>
              <w:rPr>
                <w:sz w:val="20"/>
              </w:rPr>
              <w:t>de</w:t>
            </w:r>
            <w:r w:rsidRPr="00895DF9">
              <w:rPr>
                <w:sz w:val="20"/>
              </w:rPr>
              <w:t xml:space="preserve"> cea specifică unui domeniu</w:t>
            </w:r>
            <w:r>
              <w:rPr>
                <w:sz w:val="20"/>
              </w:rPr>
              <w:t>.</w:t>
            </w:r>
          </w:p>
          <w:p w14:paraId="373D44E3" w14:textId="6AFE1E2B" w:rsidR="008560F4" w:rsidRPr="008560F4" w:rsidRDefault="008560F4" w:rsidP="008560F4">
            <w:pPr>
              <w:spacing w:after="0" w:line="240" w:lineRule="auto"/>
              <w:jc w:val="both"/>
              <w:rPr>
                <w:rFonts w:ascii="Times New Roman" w:hAnsi="Times New Roman"/>
                <w:sz w:val="24"/>
                <w:szCs w:val="24"/>
              </w:rPr>
            </w:pPr>
            <w:r w:rsidRPr="00DF657F">
              <w:rPr>
                <w:b/>
                <w:bCs/>
                <w:sz w:val="20"/>
              </w:rPr>
              <w:t>C1</w:t>
            </w:r>
            <w:r>
              <w:rPr>
                <w:b/>
                <w:bCs/>
                <w:sz w:val="20"/>
              </w:rPr>
              <w:t>1</w:t>
            </w:r>
            <w:r w:rsidRPr="00DF657F">
              <w:rPr>
                <w:b/>
                <w:bCs/>
                <w:sz w:val="20"/>
              </w:rPr>
              <w:t>.</w:t>
            </w:r>
            <w:r>
              <w:rPr>
                <w:sz w:val="20"/>
              </w:rPr>
              <w:t xml:space="preserve"> Studentul/absolventul identifică și explică </w:t>
            </w:r>
            <w:r w:rsidRPr="000C7C95">
              <w:rPr>
                <w:sz w:val="20"/>
              </w:rPr>
              <w:t>diferențel</w:t>
            </w:r>
            <w:r>
              <w:rPr>
                <w:sz w:val="20"/>
              </w:rPr>
              <w:t>e</w:t>
            </w:r>
            <w:r w:rsidRPr="000C7C95">
              <w:rPr>
                <w:sz w:val="20"/>
              </w:rPr>
              <w:t xml:space="preserve"> culturale în comunicare, comportament și percepții</w:t>
            </w:r>
            <w:r>
              <w:rPr>
                <w:sz w:val="20"/>
              </w:rPr>
              <w:t>.</w:t>
            </w:r>
          </w:p>
        </w:tc>
      </w:tr>
      <w:tr w:rsidR="008560F4" w:rsidRPr="0007194F" w14:paraId="110936E3" w14:textId="77777777" w:rsidTr="008560F4">
        <w:trPr>
          <w:cantSplit/>
          <w:trHeight w:val="1775"/>
        </w:trPr>
        <w:tc>
          <w:tcPr>
            <w:tcW w:w="994" w:type="dxa"/>
            <w:textDirection w:val="btLr"/>
            <w:vAlign w:val="center"/>
          </w:tcPr>
          <w:p w14:paraId="44988092" w14:textId="79430ABB" w:rsidR="008560F4" w:rsidRPr="0007194F" w:rsidRDefault="008560F4" w:rsidP="008560F4">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42FC427C" w14:textId="77777777" w:rsidR="008560F4" w:rsidRPr="008560F4" w:rsidRDefault="008560F4" w:rsidP="008560F4">
            <w:pPr>
              <w:spacing w:after="0" w:line="240" w:lineRule="auto"/>
              <w:jc w:val="both"/>
              <w:rPr>
                <w:sz w:val="20"/>
              </w:rPr>
            </w:pPr>
            <w:r w:rsidRPr="008560F4">
              <w:rPr>
                <w:b/>
                <w:bCs/>
                <w:sz w:val="20"/>
              </w:rPr>
              <w:t>A1.</w:t>
            </w:r>
            <w:r w:rsidRPr="008560F4">
              <w:rPr>
                <w:sz w:val="20"/>
              </w:rPr>
              <w:t>Studentul/absolventul efectuează activități de cercetare pentru a înțelege mai bine o problemă de traducere și pentru a elabora strategia de traducere care ar remedia problemele întâmpinate.</w:t>
            </w:r>
          </w:p>
          <w:p w14:paraId="58723460" w14:textId="77777777" w:rsidR="008560F4" w:rsidRDefault="008560F4" w:rsidP="008560F4">
            <w:pPr>
              <w:spacing w:after="0" w:line="240" w:lineRule="auto"/>
              <w:jc w:val="both"/>
              <w:rPr>
                <w:sz w:val="20"/>
              </w:rPr>
            </w:pPr>
            <w:r w:rsidRPr="008560F4">
              <w:rPr>
                <w:b/>
                <w:bCs/>
                <w:sz w:val="20"/>
              </w:rPr>
              <w:t>A2.</w:t>
            </w:r>
            <w:r w:rsidRPr="008560F4">
              <w:rPr>
                <w:sz w:val="20"/>
              </w:rPr>
              <w:t>Studentul/absolventul utilizează o varietate de tehnici de traducere pentru a spori eficacitatea muncii, de exemplu pentru a stabili terminologia generală și specifică domeniului, pentru a compila glosare, precum și pentru a aborda textul în mod metodic.</w:t>
            </w:r>
          </w:p>
          <w:p w14:paraId="29893D81" w14:textId="16B14CC0" w:rsidR="008560F4" w:rsidRPr="008560F4" w:rsidRDefault="008560F4" w:rsidP="008560F4">
            <w:pPr>
              <w:spacing w:after="0" w:line="240" w:lineRule="auto"/>
              <w:jc w:val="both"/>
              <w:rPr>
                <w:rFonts w:ascii="Times New Roman" w:hAnsi="Times New Roman"/>
                <w:sz w:val="24"/>
                <w:szCs w:val="24"/>
              </w:rPr>
            </w:pPr>
            <w:r w:rsidRPr="00DF657F">
              <w:rPr>
                <w:b/>
                <w:bCs/>
                <w:sz w:val="20"/>
              </w:rPr>
              <w:t>A1</w:t>
            </w:r>
            <w:r>
              <w:rPr>
                <w:b/>
                <w:bCs/>
                <w:sz w:val="20"/>
              </w:rPr>
              <w:t>1</w:t>
            </w:r>
            <w:r w:rsidRPr="00DF657F">
              <w:rPr>
                <w:b/>
                <w:bCs/>
                <w:sz w:val="20"/>
              </w:rPr>
              <w:t>.</w:t>
            </w:r>
            <w:r>
              <w:rPr>
                <w:sz w:val="20"/>
              </w:rPr>
              <w:t>Studentul/absolventul î</w:t>
            </w:r>
            <w:r w:rsidRPr="007653CB">
              <w:rPr>
                <w:sz w:val="20"/>
              </w:rPr>
              <w:t>nțelege și respectă oamenii care sunt percepuți a avea afinități culturale diferite și le răspunde în mod eficient și respectuos.</w:t>
            </w:r>
          </w:p>
        </w:tc>
      </w:tr>
      <w:tr w:rsidR="008560F4" w:rsidRPr="0007194F" w14:paraId="22C94215" w14:textId="77777777" w:rsidTr="008560F4">
        <w:trPr>
          <w:cantSplit/>
          <w:trHeight w:val="2329"/>
        </w:trPr>
        <w:tc>
          <w:tcPr>
            <w:tcW w:w="994" w:type="dxa"/>
            <w:textDirection w:val="btLr"/>
            <w:vAlign w:val="center"/>
          </w:tcPr>
          <w:p w14:paraId="6A44056B" w14:textId="5DBEA6A9" w:rsidR="008560F4" w:rsidRDefault="008560F4" w:rsidP="008560F4">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2" w:type="dxa"/>
          </w:tcPr>
          <w:p w14:paraId="77051221" w14:textId="77777777" w:rsidR="008560F4" w:rsidRDefault="008560F4" w:rsidP="008560F4">
            <w:pPr>
              <w:spacing w:after="0" w:line="240" w:lineRule="auto"/>
              <w:jc w:val="both"/>
              <w:rPr>
                <w:sz w:val="20"/>
              </w:rPr>
            </w:pPr>
            <w:r w:rsidRPr="008560F4">
              <w:rPr>
                <w:b/>
                <w:bCs/>
                <w:sz w:val="20"/>
              </w:rPr>
              <w:t>RA1.</w:t>
            </w:r>
            <w:r w:rsidRPr="008560F4">
              <w:rPr>
                <w:sz w:val="20"/>
              </w:rPr>
              <w:t>Studentul/absolventul își asumă responsabilitatea pentru deciziile de traducere luate, explicând raționamentul din spatele alegerii unei strategii.</w:t>
            </w:r>
          </w:p>
          <w:p w14:paraId="02899684" w14:textId="77777777" w:rsidR="008560F4" w:rsidRDefault="008560F4" w:rsidP="008560F4">
            <w:pPr>
              <w:spacing w:after="0" w:line="240" w:lineRule="auto"/>
              <w:jc w:val="both"/>
              <w:rPr>
                <w:sz w:val="20"/>
              </w:rPr>
            </w:pPr>
            <w:r>
              <w:rPr>
                <w:b/>
                <w:bCs/>
                <w:sz w:val="20"/>
              </w:rPr>
              <w:t>R</w:t>
            </w:r>
            <w:r w:rsidRPr="00DF657F">
              <w:rPr>
                <w:b/>
                <w:bCs/>
                <w:sz w:val="20"/>
              </w:rPr>
              <w:t>A</w:t>
            </w:r>
            <w:r>
              <w:rPr>
                <w:b/>
                <w:bCs/>
                <w:sz w:val="20"/>
              </w:rPr>
              <w:t>2</w:t>
            </w:r>
            <w:r w:rsidRPr="00DF657F">
              <w:rPr>
                <w:b/>
                <w:bCs/>
                <w:sz w:val="20"/>
              </w:rPr>
              <w:t>.</w:t>
            </w:r>
            <w:r>
              <w:rPr>
                <w:sz w:val="20"/>
              </w:rPr>
              <w:t>Studentul/absolventul s</w:t>
            </w:r>
            <w:r w:rsidRPr="009262E7">
              <w:rPr>
                <w:sz w:val="20"/>
              </w:rPr>
              <w:t>electează în mod autonom tehnicile de traducere potrivite în funcție de tipul și scopul textului.</w:t>
            </w:r>
          </w:p>
          <w:p w14:paraId="4E90C458" w14:textId="735FEF16" w:rsidR="008560F4" w:rsidRPr="008560F4" w:rsidRDefault="008560F4" w:rsidP="008560F4">
            <w:pPr>
              <w:spacing w:after="0" w:line="240" w:lineRule="auto"/>
              <w:jc w:val="both"/>
              <w:rPr>
                <w:rFonts w:ascii="Times New Roman" w:hAnsi="Times New Roman"/>
                <w:sz w:val="24"/>
                <w:szCs w:val="24"/>
              </w:rPr>
            </w:pPr>
            <w:bookmarkStart w:id="1" w:name="_Hlk209554997"/>
            <w:r>
              <w:rPr>
                <w:b/>
                <w:bCs/>
                <w:sz w:val="20"/>
              </w:rPr>
              <w:t>R</w:t>
            </w:r>
            <w:r w:rsidRPr="00DF657F">
              <w:rPr>
                <w:b/>
                <w:bCs/>
                <w:sz w:val="20"/>
              </w:rPr>
              <w:t>A1</w:t>
            </w:r>
            <w:r>
              <w:rPr>
                <w:b/>
                <w:bCs/>
                <w:sz w:val="20"/>
              </w:rPr>
              <w:t>1</w:t>
            </w:r>
            <w:r w:rsidRPr="00DF657F">
              <w:rPr>
                <w:b/>
                <w:bCs/>
                <w:sz w:val="20"/>
              </w:rPr>
              <w:t>.</w:t>
            </w:r>
            <w:r>
              <w:rPr>
                <w:sz w:val="20"/>
              </w:rPr>
              <w:t>Studentul/absolventul m</w:t>
            </w:r>
            <w:r w:rsidRPr="00E35E17">
              <w:rPr>
                <w:sz w:val="20"/>
              </w:rPr>
              <w:t>anifestă sensibilitate interculturală și respect față de diversitatea culturală, comunicând eficient și adecvat cu persoane din medii culturale diferite.</w:t>
            </w:r>
            <w:bookmarkEnd w:id="1"/>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735DD619" w14:textId="68FD877A" w:rsidR="008560F4" w:rsidRPr="008560F4" w:rsidRDefault="008560F4" w:rsidP="008560F4">
      <w:pPr>
        <w:tabs>
          <w:tab w:val="num" w:pos="720"/>
        </w:tabs>
        <w:spacing w:after="0" w:line="240" w:lineRule="auto"/>
        <w:ind w:firstLine="708"/>
        <w:jc w:val="both"/>
        <w:rPr>
          <w:rFonts w:ascii="Times New Roman" w:hAnsi="Times New Roman"/>
          <w:sz w:val="24"/>
          <w:szCs w:val="24"/>
        </w:rPr>
      </w:pPr>
      <w:r w:rsidRPr="008560F4">
        <w:rPr>
          <w:rFonts w:ascii="Times New Roman" w:hAnsi="Times New Roman"/>
          <w:sz w:val="24"/>
          <w:szCs w:val="24"/>
        </w:rPr>
        <w:t>Procesul didactic va valorifica o gamă diversificată de metode, adaptate specificului interdisciplinar al politicilor lingvistice și educaționale. Acestea vor include atât metode expozitive (precum prelegerea și prezentarea structurată a conținutului), cât și metode interactive și dialogate, menite să stimuleze gândirea critică, dezbaterea și învățarea activă. Studenții vor fi încurajați să participe activ la cursuri prin: analiza și interpretarea de studii de caz concrete; lectura ghidată și discutarea textelor de specialitate; exerciții aplicative individuale și de grup; proiecte de cercetare orientate spre analiza politicilor lingvistice în contexte educaționale variate.</w:t>
      </w:r>
    </w:p>
    <w:p w14:paraId="71EB769D" w14:textId="77777777" w:rsidR="008560F4" w:rsidRPr="00F901F2" w:rsidRDefault="008560F4" w:rsidP="008560F4">
      <w:pPr>
        <w:spacing w:after="0" w:line="240" w:lineRule="auto"/>
        <w:ind w:firstLine="708"/>
        <w:jc w:val="both"/>
        <w:rPr>
          <w:rFonts w:ascii="Times New Roman" w:hAnsi="Times New Roman"/>
          <w:sz w:val="24"/>
          <w:szCs w:val="24"/>
        </w:rPr>
      </w:pPr>
      <w:r w:rsidRPr="00F901F2">
        <w:rPr>
          <w:rFonts w:ascii="Times New Roman" w:hAnsi="Times New Roman"/>
          <w:sz w:val="24"/>
          <w:szCs w:val="24"/>
        </w:rPr>
        <w:t>Activitatea de predare va fi susținută vizual prin prezentări PowerPoint și materiale video relevante, care vor conține scheme, grafice și hărți conceptuale, pentru a facilita înțelegerea și reținerea noțiunilor-cheie.</w:t>
      </w:r>
    </w:p>
    <w:p w14:paraId="713256D9" w14:textId="77777777" w:rsidR="008560F4" w:rsidRPr="008560F4" w:rsidRDefault="008560F4" w:rsidP="008560F4">
      <w:pPr>
        <w:spacing w:after="0" w:line="240" w:lineRule="auto"/>
        <w:ind w:firstLine="708"/>
        <w:jc w:val="both"/>
        <w:rPr>
          <w:rFonts w:ascii="Times New Roman" w:hAnsi="Times New Roman"/>
          <w:sz w:val="24"/>
          <w:szCs w:val="24"/>
          <w:lang w:val="es-ES_tradnl"/>
        </w:rPr>
      </w:pPr>
      <w:r w:rsidRPr="008560F4">
        <w:rPr>
          <w:rFonts w:ascii="Times New Roman" w:hAnsi="Times New Roman"/>
          <w:sz w:val="24"/>
          <w:szCs w:val="24"/>
          <w:lang w:val="es-ES_tradnl"/>
        </w:rPr>
        <w:t>Fiecare sesiune de curs va începe cu o recapitulare a conținuturilor anterioare, cu accent pe conceptele discutate în cursul precedent, pentru a asigura coerența procesului de învățare și consolidarea progresivă a cunoștințelor.</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050B956A" w:rsidR="001B7FAD" w:rsidRPr="00AD6760" w:rsidRDefault="001B7FAD" w:rsidP="001B7FAD">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58C023D8" w:rsidR="001B7FAD" w:rsidRPr="00983065" w:rsidRDefault="00983065" w:rsidP="001B7FAD">
            <w:pPr>
              <w:spacing w:line="240" w:lineRule="auto"/>
              <w:jc w:val="both"/>
              <w:rPr>
                <w:rFonts w:ascii="Times New Roman" w:hAnsi="Times New Roman"/>
                <w:highlight w:val="yellow"/>
              </w:rPr>
            </w:pPr>
            <w:r w:rsidRPr="00983065">
              <w:rPr>
                <w:rFonts w:ascii="Times New Roman" w:hAnsi="Times New Roman"/>
                <w:b/>
                <w:bCs/>
                <w:lang w:val="fr-FR"/>
              </w:rPr>
              <w:t>Introduction générale</w:t>
            </w:r>
            <w:r w:rsidRPr="00983065">
              <w:rPr>
                <w:rFonts w:ascii="Times New Roman" w:hAnsi="Times New Roman"/>
              </w:rPr>
              <w:t xml:space="preserve">. Définitions : politique linguistique, planification linguistique, politique éducative. </w:t>
            </w:r>
            <w:r w:rsidRPr="00983065">
              <w:rPr>
                <w:rFonts w:ascii="Times New Roman" w:hAnsi="Times New Roman"/>
                <w:lang w:val="fr-FR"/>
              </w:rPr>
              <w:t>Distinction entre politique linguistique implicite et explicite.</w:t>
            </w:r>
          </w:p>
        </w:tc>
        <w:tc>
          <w:tcPr>
            <w:tcW w:w="857" w:type="dxa"/>
          </w:tcPr>
          <w:p w14:paraId="1A6E81A5" w14:textId="77777777" w:rsidR="001B7FAD" w:rsidRPr="00C977FC" w:rsidRDefault="001B7FAD" w:rsidP="001B7FAD">
            <w:pPr>
              <w:pStyle w:val="TableParagraph"/>
              <w:spacing w:before="1" w:line="206" w:lineRule="exact"/>
              <w:ind w:left="150" w:right="126" w:firstLine="9"/>
              <w:rPr>
                <w:sz w:val="24"/>
                <w:szCs w:val="24"/>
              </w:rPr>
            </w:pPr>
          </w:p>
          <w:p w14:paraId="3C9EB5C0" w14:textId="1C7069D1" w:rsidR="001B7FAD" w:rsidRPr="00C977FC" w:rsidRDefault="001B7FAD" w:rsidP="001B7FAD">
            <w:pPr>
              <w:spacing w:line="240" w:lineRule="auto"/>
              <w:jc w:val="center"/>
              <w:rPr>
                <w:rFonts w:ascii="Times New Roman" w:hAnsi="Times New Roman"/>
                <w:b/>
                <w:bCs/>
                <w:sz w:val="24"/>
                <w:szCs w:val="24"/>
                <w:highlight w:val="yellow"/>
                <w:lang w:val="it-IT"/>
              </w:rPr>
            </w:pPr>
            <w:r w:rsidRPr="00C977FC">
              <w:rPr>
                <w:sz w:val="24"/>
                <w:szCs w:val="24"/>
              </w:rPr>
              <w:t>2</w:t>
            </w:r>
          </w:p>
        </w:tc>
      </w:tr>
      <w:tr w:rsidR="001B7FAD" w:rsidRPr="00AD6760" w14:paraId="18ABA96D" w14:textId="77777777" w:rsidTr="00332EFF">
        <w:trPr>
          <w:jc w:val="center"/>
        </w:trPr>
        <w:tc>
          <w:tcPr>
            <w:tcW w:w="1271" w:type="dxa"/>
            <w:vAlign w:val="center"/>
          </w:tcPr>
          <w:p w14:paraId="748F843E" w14:textId="247DB6A0"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19D3D68F" w:rsidR="001B7FAD" w:rsidRPr="00983065" w:rsidRDefault="00983065" w:rsidP="001B7FAD">
            <w:pPr>
              <w:spacing w:after="0" w:line="240" w:lineRule="auto"/>
              <w:jc w:val="both"/>
              <w:rPr>
                <w:rFonts w:ascii="Times New Roman" w:hAnsi="Times New Roman"/>
                <w:highlight w:val="yellow"/>
              </w:rPr>
            </w:pPr>
            <w:r w:rsidRPr="00983065">
              <w:rPr>
                <w:rFonts w:ascii="Times New Roman" w:hAnsi="Times New Roman"/>
                <w:b/>
                <w:bCs/>
                <w:lang w:val="fr-FR"/>
              </w:rPr>
              <w:t>Cadres théoriques</w:t>
            </w:r>
            <w:r w:rsidRPr="00983065">
              <w:rPr>
                <w:rFonts w:ascii="Times New Roman" w:hAnsi="Times New Roman"/>
                <w:lang w:val="fr-FR"/>
              </w:rPr>
              <w:t xml:space="preserve">. </w:t>
            </w:r>
            <w:r w:rsidRPr="00983065">
              <w:rPr>
                <w:rFonts w:ascii="Times New Roman" w:hAnsi="Times New Roman"/>
              </w:rPr>
              <w:t xml:space="preserve">Théories sociolinguistiques des politiques linguistiques : Fishman, Spolsky, Cooper. </w:t>
            </w:r>
            <w:r w:rsidRPr="00983065">
              <w:rPr>
                <w:rFonts w:ascii="Times New Roman" w:hAnsi="Times New Roman"/>
                <w:lang w:val="en-US"/>
              </w:rPr>
              <w:t>Niveaux de planification linguistique (corpus, statut, acquisition).</w:t>
            </w:r>
          </w:p>
        </w:tc>
        <w:tc>
          <w:tcPr>
            <w:tcW w:w="857" w:type="dxa"/>
          </w:tcPr>
          <w:p w14:paraId="34AE2AC5" w14:textId="1F98265C" w:rsidR="001B7FAD" w:rsidRPr="00C977FC" w:rsidRDefault="001B7FAD" w:rsidP="001B7FAD">
            <w:pPr>
              <w:spacing w:after="0" w:line="240" w:lineRule="auto"/>
              <w:jc w:val="center"/>
              <w:rPr>
                <w:rFonts w:ascii="Times New Roman" w:hAnsi="Times New Roman"/>
                <w:b/>
                <w:bCs/>
                <w:sz w:val="24"/>
                <w:szCs w:val="24"/>
                <w:highlight w:val="yellow"/>
                <w:lang w:val="it-IT"/>
              </w:rPr>
            </w:pPr>
            <w:r w:rsidRPr="00C977FC">
              <w:rPr>
                <w:sz w:val="24"/>
                <w:szCs w:val="24"/>
              </w:rPr>
              <w:t>2</w:t>
            </w:r>
          </w:p>
        </w:tc>
      </w:tr>
      <w:tr w:rsidR="001B7FAD" w:rsidRPr="00AD6760" w14:paraId="389DF12A" w14:textId="77777777" w:rsidTr="00332EFF">
        <w:trPr>
          <w:jc w:val="center"/>
        </w:trPr>
        <w:tc>
          <w:tcPr>
            <w:tcW w:w="1271" w:type="dxa"/>
            <w:vAlign w:val="center"/>
          </w:tcPr>
          <w:p w14:paraId="0C8F769E" w14:textId="64E74B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4C68FFB2" w:rsidR="00C44ACD" w:rsidRPr="00983065" w:rsidRDefault="00983065" w:rsidP="001B7FAD">
            <w:pPr>
              <w:spacing w:after="0" w:line="240" w:lineRule="auto"/>
              <w:jc w:val="both"/>
              <w:rPr>
                <w:rFonts w:ascii="Times New Roman" w:hAnsi="Times New Roman"/>
                <w:highlight w:val="yellow"/>
              </w:rPr>
            </w:pPr>
            <w:r w:rsidRPr="00983065">
              <w:rPr>
                <w:rFonts w:ascii="Times New Roman" w:hAnsi="Times New Roman"/>
                <w:b/>
                <w:bCs/>
                <w:lang w:val="fr-FR"/>
              </w:rPr>
              <w:t>Langue, pouvoir et identité</w:t>
            </w:r>
            <w:r w:rsidRPr="00983065">
              <w:rPr>
                <w:rFonts w:ascii="Times New Roman" w:hAnsi="Times New Roman"/>
                <w:lang w:val="fr-FR"/>
              </w:rPr>
              <w:t xml:space="preserve">. </w:t>
            </w:r>
            <w:r w:rsidRPr="00983065">
              <w:rPr>
                <w:rFonts w:ascii="Times New Roman" w:hAnsi="Times New Roman"/>
              </w:rPr>
              <w:t>Langue comme enjeu de pouvoir, construction identitaire, diglossie, hiérarchies linguistiques.</w:t>
            </w:r>
          </w:p>
        </w:tc>
        <w:tc>
          <w:tcPr>
            <w:tcW w:w="857" w:type="dxa"/>
          </w:tcPr>
          <w:p w14:paraId="313E2854" w14:textId="2B044A13" w:rsidR="001B7FAD" w:rsidRPr="00C977FC" w:rsidRDefault="001B7FAD" w:rsidP="001B7FAD">
            <w:pPr>
              <w:spacing w:after="0" w:line="240" w:lineRule="auto"/>
              <w:jc w:val="center"/>
              <w:rPr>
                <w:rFonts w:ascii="Times New Roman" w:hAnsi="Times New Roman"/>
                <w:b/>
                <w:bCs/>
                <w:sz w:val="24"/>
                <w:szCs w:val="24"/>
                <w:highlight w:val="yellow"/>
                <w:lang w:val="it-IT"/>
              </w:rPr>
            </w:pPr>
            <w:r w:rsidRPr="00C977FC">
              <w:rPr>
                <w:sz w:val="24"/>
                <w:szCs w:val="24"/>
              </w:rPr>
              <w:t>2</w:t>
            </w:r>
          </w:p>
        </w:tc>
      </w:tr>
      <w:tr w:rsidR="001B7FAD" w:rsidRPr="00AD6760" w14:paraId="2CC7EA92" w14:textId="77777777" w:rsidTr="00332EFF">
        <w:trPr>
          <w:jc w:val="center"/>
        </w:trPr>
        <w:tc>
          <w:tcPr>
            <w:tcW w:w="1271" w:type="dxa"/>
            <w:vAlign w:val="center"/>
          </w:tcPr>
          <w:p w14:paraId="1E399926" w14:textId="3388CF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3A38E592" w:rsidR="001B7FAD" w:rsidRPr="00983065" w:rsidRDefault="00983065" w:rsidP="001B7FAD">
            <w:pPr>
              <w:spacing w:after="0" w:line="240" w:lineRule="auto"/>
              <w:jc w:val="both"/>
              <w:rPr>
                <w:rFonts w:ascii="Times New Roman" w:hAnsi="Times New Roman"/>
                <w:highlight w:val="yellow"/>
              </w:rPr>
            </w:pPr>
            <w:r w:rsidRPr="00983065">
              <w:rPr>
                <w:rFonts w:ascii="Times New Roman" w:hAnsi="Times New Roman"/>
                <w:b/>
                <w:bCs/>
              </w:rPr>
              <w:t>Histoire des politiques linguistiques (France).</w:t>
            </w:r>
            <w:r w:rsidRPr="00983065">
              <w:rPr>
                <w:rFonts w:ascii="Times New Roman" w:hAnsi="Times New Roman"/>
              </w:rPr>
              <w:t xml:space="preserve"> De l’Ordonnance de Villers-Cotterêts à la loi Toubon : centralisation linguistique et réformes scolaires.</w:t>
            </w:r>
          </w:p>
        </w:tc>
        <w:tc>
          <w:tcPr>
            <w:tcW w:w="857" w:type="dxa"/>
          </w:tcPr>
          <w:p w14:paraId="15AD19EA" w14:textId="5E9A8CA6" w:rsidR="001B7FAD" w:rsidRPr="00C977FC" w:rsidRDefault="001B7FAD" w:rsidP="001B7FAD">
            <w:pPr>
              <w:spacing w:after="0" w:line="240" w:lineRule="auto"/>
              <w:jc w:val="center"/>
              <w:rPr>
                <w:rFonts w:ascii="Times New Roman" w:hAnsi="Times New Roman"/>
                <w:b/>
                <w:bCs/>
                <w:sz w:val="24"/>
                <w:szCs w:val="24"/>
                <w:highlight w:val="yellow"/>
              </w:rPr>
            </w:pPr>
            <w:r w:rsidRPr="00C977FC">
              <w:rPr>
                <w:sz w:val="24"/>
                <w:szCs w:val="24"/>
              </w:rPr>
              <w:t>2</w:t>
            </w:r>
          </w:p>
        </w:tc>
      </w:tr>
      <w:tr w:rsidR="001B7FAD" w:rsidRPr="00AD6760" w14:paraId="0CBD9111" w14:textId="77777777" w:rsidTr="00332EFF">
        <w:trPr>
          <w:jc w:val="center"/>
        </w:trPr>
        <w:tc>
          <w:tcPr>
            <w:tcW w:w="1271" w:type="dxa"/>
            <w:vAlign w:val="center"/>
          </w:tcPr>
          <w:p w14:paraId="0C7E9E3C" w14:textId="22901F68"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6A92A079" w:rsidR="001B7FAD" w:rsidRPr="00983065" w:rsidRDefault="00983065" w:rsidP="001B7FAD">
            <w:pPr>
              <w:spacing w:after="0" w:line="240" w:lineRule="auto"/>
              <w:jc w:val="both"/>
              <w:rPr>
                <w:rFonts w:ascii="Times New Roman" w:hAnsi="Times New Roman"/>
                <w:b/>
                <w:highlight w:val="yellow"/>
              </w:rPr>
            </w:pPr>
            <w:r w:rsidRPr="00983065">
              <w:rPr>
                <w:rFonts w:ascii="Times New Roman" w:hAnsi="Times New Roman"/>
                <w:b/>
                <w:bCs/>
                <w:lang w:val="fr-FR"/>
              </w:rPr>
              <w:t>Éducation et diversité linguistique</w:t>
            </w:r>
            <w:r w:rsidRPr="00983065">
              <w:rPr>
                <w:rFonts w:ascii="Times New Roman" w:hAnsi="Times New Roman"/>
                <w:lang w:val="fr-FR"/>
              </w:rPr>
              <w:t xml:space="preserve">. </w:t>
            </w:r>
            <w:r w:rsidRPr="00983065">
              <w:rPr>
                <w:rFonts w:ascii="Times New Roman" w:hAnsi="Times New Roman"/>
              </w:rPr>
              <w:t>Éducation monolingue vs plurilingue. Modèles d’enseignement des langues : immersion, bilinguisme, enseignement des LCO (Langues et Cultures d’Origine).</w:t>
            </w:r>
          </w:p>
        </w:tc>
        <w:tc>
          <w:tcPr>
            <w:tcW w:w="857" w:type="dxa"/>
          </w:tcPr>
          <w:p w14:paraId="5928C940" w14:textId="293A81B3" w:rsidR="001B7FAD" w:rsidRPr="00C977FC" w:rsidRDefault="00983065" w:rsidP="001B7FAD">
            <w:pPr>
              <w:spacing w:after="0" w:line="240" w:lineRule="auto"/>
              <w:jc w:val="center"/>
              <w:rPr>
                <w:rFonts w:ascii="Times New Roman" w:hAnsi="Times New Roman"/>
                <w:b/>
                <w:bCs/>
                <w:sz w:val="24"/>
                <w:szCs w:val="24"/>
                <w:highlight w:val="yellow"/>
              </w:rPr>
            </w:pPr>
            <w:r>
              <w:rPr>
                <w:sz w:val="24"/>
                <w:szCs w:val="24"/>
              </w:rPr>
              <w:t>2</w:t>
            </w:r>
          </w:p>
        </w:tc>
      </w:tr>
      <w:tr w:rsidR="001B7FAD" w:rsidRPr="00AD6760" w14:paraId="63209E08" w14:textId="77777777" w:rsidTr="136E1F19">
        <w:trPr>
          <w:jc w:val="center"/>
        </w:trPr>
        <w:tc>
          <w:tcPr>
            <w:tcW w:w="1271" w:type="dxa"/>
            <w:vAlign w:val="center"/>
          </w:tcPr>
          <w:p w14:paraId="2277214C" w14:textId="23804343"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31E734AE" w:rsidR="001B7FAD" w:rsidRPr="00983065" w:rsidRDefault="00983065" w:rsidP="001B7FAD">
            <w:pPr>
              <w:spacing w:after="0" w:line="240" w:lineRule="auto"/>
              <w:jc w:val="both"/>
              <w:rPr>
                <w:rFonts w:ascii="Times New Roman" w:hAnsi="Times New Roman"/>
                <w:b/>
                <w:highlight w:val="yellow"/>
              </w:rPr>
            </w:pPr>
            <w:r w:rsidRPr="00983065">
              <w:rPr>
                <w:rFonts w:ascii="Times New Roman" w:hAnsi="Times New Roman"/>
                <w:b/>
                <w:bCs/>
                <w:lang w:val="fr-FR"/>
              </w:rPr>
              <w:t>Langues régionales et minoritaires</w:t>
            </w:r>
            <w:r w:rsidRPr="00983065">
              <w:rPr>
                <w:rFonts w:ascii="Times New Roman" w:hAnsi="Times New Roman"/>
                <w:lang w:val="fr-FR"/>
              </w:rPr>
              <w:t xml:space="preserve">.  </w:t>
            </w:r>
            <w:r w:rsidRPr="00983065">
              <w:rPr>
                <w:rFonts w:ascii="Times New Roman" w:hAnsi="Times New Roman"/>
              </w:rPr>
              <w:t xml:space="preserve">Enjeux de l’enseignement des langues régionales en France et en Europe. </w:t>
            </w:r>
            <w:r w:rsidRPr="00F901F2">
              <w:rPr>
                <w:rFonts w:ascii="Times New Roman" w:hAnsi="Times New Roman"/>
                <w:i/>
                <w:iCs/>
                <w:lang w:val="en-US"/>
              </w:rPr>
              <w:t>Charte européenne des langues régionales ou minoritaires</w:t>
            </w:r>
          </w:p>
        </w:tc>
        <w:tc>
          <w:tcPr>
            <w:tcW w:w="857" w:type="dxa"/>
            <w:vAlign w:val="center"/>
          </w:tcPr>
          <w:p w14:paraId="2BA13951" w14:textId="45BAD092" w:rsidR="001B7FAD" w:rsidRPr="00C977FC" w:rsidRDefault="00FD7E00" w:rsidP="001B7FAD">
            <w:pPr>
              <w:spacing w:after="0" w:line="240" w:lineRule="auto"/>
              <w:jc w:val="center"/>
              <w:rPr>
                <w:rFonts w:ascii="Times New Roman" w:hAnsi="Times New Roman"/>
                <w:sz w:val="24"/>
                <w:szCs w:val="24"/>
              </w:rPr>
            </w:pPr>
            <w:r w:rsidRPr="00C977FC">
              <w:rPr>
                <w:rFonts w:ascii="Times New Roman" w:hAnsi="Times New Roman"/>
                <w:sz w:val="24"/>
                <w:szCs w:val="24"/>
              </w:rPr>
              <w:t>2</w:t>
            </w:r>
          </w:p>
        </w:tc>
      </w:tr>
      <w:tr w:rsidR="001B7FAD" w:rsidRPr="00AD6760" w14:paraId="55E80252" w14:textId="77777777" w:rsidTr="136E1F19">
        <w:trPr>
          <w:jc w:val="center"/>
        </w:trPr>
        <w:tc>
          <w:tcPr>
            <w:tcW w:w="1271" w:type="dxa"/>
            <w:vAlign w:val="center"/>
          </w:tcPr>
          <w:p w14:paraId="7028817C" w14:textId="32D3B6D5"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lastRenderedPageBreak/>
              <w:t>VII</w:t>
            </w:r>
          </w:p>
        </w:tc>
        <w:tc>
          <w:tcPr>
            <w:tcW w:w="8399" w:type="dxa"/>
          </w:tcPr>
          <w:p w14:paraId="5CFC67D5" w14:textId="5B938228" w:rsidR="001B7FAD" w:rsidRPr="00525BD0" w:rsidRDefault="00983065" w:rsidP="00162944">
            <w:pPr>
              <w:pStyle w:val="TableParagraph"/>
              <w:spacing w:before="95"/>
              <w:jc w:val="both"/>
              <w:rPr>
                <w:bCs/>
                <w:sz w:val="24"/>
                <w:szCs w:val="24"/>
              </w:rPr>
            </w:pPr>
            <w:r w:rsidRPr="00525BD0">
              <w:rPr>
                <w:b/>
                <w:bCs/>
                <w:lang w:val="fr-FR"/>
              </w:rPr>
              <w:t>Langue(s) et immigration</w:t>
            </w:r>
            <w:r w:rsidRPr="00525BD0">
              <w:rPr>
                <w:lang w:val="fr-FR"/>
              </w:rPr>
              <w:t xml:space="preserve">. </w:t>
            </w:r>
            <w:r w:rsidRPr="00525BD0">
              <w:t>Politiques d’intégration linguistique. Alphabétisation, FLE, langue seconde.</w:t>
            </w:r>
          </w:p>
        </w:tc>
        <w:tc>
          <w:tcPr>
            <w:tcW w:w="857" w:type="dxa"/>
            <w:vAlign w:val="center"/>
          </w:tcPr>
          <w:p w14:paraId="5A2844E6" w14:textId="2A716527" w:rsidR="001B7FAD" w:rsidRPr="00C977FC" w:rsidRDefault="00983065" w:rsidP="001B7FAD">
            <w:pPr>
              <w:spacing w:after="0" w:line="240" w:lineRule="auto"/>
              <w:jc w:val="center"/>
              <w:rPr>
                <w:sz w:val="24"/>
                <w:szCs w:val="24"/>
              </w:rPr>
            </w:pPr>
            <w:r>
              <w:rPr>
                <w:sz w:val="24"/>
                <w:szCs w:val="24"/>
              </w:rPr>
              <w:t>2</w:t>
            </w:r>
          </w:p>
        </w:tc>
      </w:tr>
      <w:tr w:rsidR="001B7FAD" w:rsidRPr="00AD6760" w14:paraId="4B32D1F0" w14:textId="77777777" w:rsidTr="136E1F19">
        <w:trPr>
          <w:jc w:val="center"/>
        </w:trPr>
        <w:tc>
          <w:tcPr>
            <w:tcW w:w="1271" w:type="dxa"/>
            <w:vAlign w:val="center"/>
          </w:tcPr>
          <w:p w14:paraId="6449DB19" w14:textId="627D1296"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0067484B" w14:textId="4AB85B16" w:rsidR="001B7FAD" w:rsidRPr="00525BD0" w:rsidRDefault="00983065" w:rsidP="00162944">
            <w:pPr>
              <w:pStyle w:val="TableParagraph"/>
              <w:spacing w:before="95"/>
              <w:jc w:val="both"/>
              <w:rPr>
                <w:b/>
                <w:sz w:val="24"/>
                <w:szCs w:val="24"/>
              </w:rPr>
            </w:pPr>
            <w:r w:rsidRPr="00525BD0">
              <w:rPr>
                <w:b/>
                <w:bCs/>
              </w:rPr>
              <w:t>Politique linguistique dans un contexte postcolonial.</w:t>
            </w:r>
            <w:r w:rsidRPr="00525BD0">
              <w:t xml:space="preserve"> Cas des pays africains francophones ou lusophones : langue coloniale vs langues nationales.</w:t>
            </w:r>
          </w:p>
        </w:tc>
        <w:tc>
          <w:tcPr>
            <w:tcW w:w="857" w:type="dxa"/>
            <w:vAlign w:val="center"/>
          </w:tcPr>
          <w:p w14:paraId="154D228A" w14:textId="3112F0D4" w:rsidR="001B7FAD" w:rsidRPr="00C977FC" w:rsidRDefault="00525BD0" w:rsidP="001B7FAD">
            <w:pPr>
              <w:spacing w:after="0" w:line="240" w:lineRule="auto"/>
              <w:jc w:val="center"/>
              <w:rPr>
                <w:sz w:val="24"/>
                <w:szCs w:val="24"/>
              </w:rPr>
            </w:pPr>
            <w:r>
              <w:rPr>
                <w:sz w:val="24"/>
                <w:szCs w:val="24"/>
              </w:rPr>
              <w:t>2</w:t>
            </w:r>
          </w:p>
        </w:tc>
      </w:tr>
      <w:tr w:rsidR="00983065" w:rsidRPr="00AD6760" w14:paraId="32470879" w14:textId="77777777" w:rsidTr="136E1F19">
        <w:trPr>
          <w:jc w:val="center"/>
        </w:trPr>
        <w:tc>
          <w:tcPr>
            <w:tcW w:w="1271" w:type="dxa"/>
            <w:vAlign w:val="center"/>
          </w:tcPr>
          <w:p w14:paraId="729A2BA6" w14:textId="344DDDFF" w:rsidR="00983065" w:rsidRDefault="00983065" w:rsidP="001B7FAD">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tcPr>
          <w:p w14:paraId="1F897F0F" w14:textId="1E24B621" w:rsidR="00983065" w:rsidRPr="00525BD0" w:rsidRDefault="00983065" w:rsidP="001B7FAD">
            <w:pPr>
              <w:spacing w:after="0" w:line="240" w:lineRule="auto"/>
              <w:jc w:val="both"/>
              <w:rPr>
                <w:rFonts w:ascii="Times New Roman" w:hAnsi="Times New Roman"/>
                <w:b/>
                <w:sz w:val="24"/>
                <w:szCs w:val="24"/>
              </w:rPr>
            </w:pPr>
            <w:r w:rsidRPr="00525BD0">
              <w:rPr>
                <w:rFonts w:ascii="Times New Roman" w:hAnsi="Times New Roman"/>
                <w:b/>
                <w:bCs/>
                <w:lang w:val="fr-FR"/>
              </w:rPr>
              <w:t>Langue et mondialisation.</w:t>
            </w:r>
            <w:r w:rsidRPr="00525BD0">
              <w:rPr>
                <w:rFonts w:ascii="Times New Roman" w:hAnsi="Times New Roman"/>
                <w:lang w:val="fr-FR"/>
              </w:rPr>
              <w:t xml:space="preserve"> </w:t>
            </w:r>
            <w:r w:rsidRPr="00525BD0">
              <w:rPr>
                <w:rFonts w:ascii="Times New Roman" w:hAnsi="Times New Roman"/>
              </w:rPr>
              <w:t xml:space="preserve">L’anglais comme </w:t>
            </w:r>
            <w:r w:rsidRPr="00F901F2">
              <w:rPr>
                <w:rFonts w:ascii="Times New Roman" w:hAnsi="Times New Roman"/>
                <w:i/>
                <w:iCs/>
              </w:rPr>
              <w:t>lingua franca</w:t>
            </w:r>
            <w:r w:rsidRPr="00525BD0">
              <w:rPr>
                <w:rFonts w:ascii="Times New Roman" w:hAnsi="Times New Roman"/>
              </w:rPr>
              <w:t>. Conséquences sur les politiques éducatives nationales.</w:t>
            </w:r>
          </w:p>
        </w:tc>
        <w:tc>
          <w:tcPr>
            <w:tcW w:w="857" w:type="dxa"/>
            <w:vAlign w:val="center"/>
          </w:tcPr>
          <w:p w14:paraId="78DC30BF" w14:textId="3EADC7D0" w:rsidR="00983065" w:rsidRPr="00C977FC" w:rsidRDefault="00525BD0" w:rsidP="001B7FAD">
            <w:pPr>
              <w:spacing w:after="0" w:line="240" w:lineRule="auto"/>
              <w:jc w:val="center"/>
              <w:rPr>
                <w:sz w:val="24"/>
                <w:szCs w:val="24"/>
              </w:rPr>
            </w:pPr>
            <w:r>
              <w:rPr>
                <w:sz w:val="24"/>
                <w:szCs w:val="24"/>
              </w:rPr>
              <w:t>2</w:t>
            </w:r>
          </w:p>
        </w:tc>
      </w:tr>
      <w:tr w:rsidR="00983065" w:rsidRPr="00AD6760" w14:paraId="42FF2796" w14:textId="77777777" w:rsidTr="136E1F19">
        <w:trPr>
          <w:jc w:val="center"/>
        </w:trPr>
        <w:tc>
          <w:tcPr>
            <w:tcW w:w="1271" w:type="dxa"/>
            <w:vAlign w:val="center"/>
          </w:tcPr>
          <w:p w14:paraId="74889B61" w14:textId="2A4A538F" w:rsidR="00983065" w:rsidRDefault="00983065" w:rsidP="001B7FAD">
            <w:pPr>
              <w:spacing w:after="0" w:line="240" w:lineRule="auto"/>
              <w:jc w:val="center"/>
              <w:rPr>
                <w:rFonts w:ascii="Times New Roman" w:hAnsi="Times New Roman"/>
                <w:sz w:val="24"/>
                <w:szCs w:val="24"/>
              </w:rPr>
            </w:pPr>
            <w:r>
              <w:rPr>
                <w:rFonts w:ascii="Times New Roman" w:hAnsi="Times New Roman"/>
                <w:sz w:val="24"/>
                <w:szCs w:val="24"/>
              </w:rPr>
              <w:t>X</w:t>
            </w:r>
          </w:p>
        </w:tc>
        <w:tc>
          <w:tcPr>
            <w:tcW w:w="8399" w:type="dxa"/>
          </w:tcPr>
          <w:p w14:paraId="37BDCF73" w14:textId="78E415AB" w:rsidR="00983065" w:rsidRPr="00525BD0" w:rsidRDefault="00983065" w:rsidP="001B7FAD">
            <w:pPr>
              <w:spacing w:after="0" w:line="240" w:lineRule="auto"/>
              <w:jc w:val="both"/>
              <w:rPr>
                <w:rFonts w:ascii="Times New Roman" w:hAnsi="Times New Roman"/>
                <w:b/>
                <w:sz w:val="24"/>
                <w:szCs w:val="24"/>
              </w:rPr>
            </w:pPr>
            <w:r w:rsidRPr="00525BD0">
              <w:rPr>
                <w:rFonts w:ascii="Times New Roman" w:hAnsi="Times New Roman"/>
                <w:b/>
                <w:bCs/>
              </w:rPr>
              <w:t>Le plurilinguisme en milieu scolaire</w:t>
            </w:r>
            <w:r w:rsidRPr="00525BD0">
              <w:rPr>
                <w:rFonts w:ascii="Times New Roman" w:hAnsi="Times New Roman"/>
              </w:rPr>
              <w:t xml:space="preserve">. Comment gérer le plurilinguisme dans la classe ? </w:t>
            </w:r>
            <w:r w:rsidRPr="00525BD0">
              <w:rPr>
                <w:rFonts w:ascii="Times New Roman" w:hAnsi="Times New Roman"/>
                <w:lang w:val="fr-FR"/>
              </w:rPr>
              <w:t>Représentations, pratiques pédagogiques, inclusion.</w:t>
            </w:r>
          </w:p>
        </w:tc>
        <w:tc>
          <w:tcPr>
            <w:tcW w:w="857" w:type="dxa"/>
            <w:vAlign w:val="center"/>
          </w:tcPr>
          <w:p w14:paraId="07CC4852" w14:textId="2BD74563" w:rsidR="00983065" w:rsidRPr="00C977FC" w:rsidRDefault="00525BD0" w:rsidP="001B7FAD">
            <w:pPr>
              <w:spacing w:after="0" w:line="240" w:lineRule="auto"/>
              <w:jc w:val="center"/>
              <w:rPr>
                <w:sz w:val="24"/>
                <w:szCs w:val="24"/>
              </w:rPr>
            </w:pPr>
            <w:r>
              <w:rPr>
                <w:sz w:val="24"/>
                <w:szCs w:val="24"/>
              </w:rPr>
              <w:t>2</w:t>
            </w:r>
          </w:p>
        </w:tc>
      </w:tr>
      <w:tr w:rsidR="00983065" w:rsidRPr="00AD6760" w14:paraId="639734E0" w14:textId="77777777" w:rsidTr="136E1F19">
        <w:trPr>
          <w:jc w:val="center"/>
        </w:trPr>
        <w:tc>
          <w:tcPr>
            <w:tcW w:w="1271" w:type="dxa"/>
            <w:vAlign w:val="center"/>
          </w:tcPr>
          <w:p w14:paraId="5861ADBA" w14:textId="0A8F324E" w:rsidR="00983065" w:rsidRDefault="00983065" w:rsidP="001B7FAD">
            <w:pPr>
              <w:spacing w:after="0" w:line="240" w:lineRule="auto"/>
              <w:jc w:val="center"/>
              <w:rPr>
                <w:rFonts w:ascii="Times New Roman" w:hAnsi="Times New Roman"/>
                <w:sz w:val="24"/>
                <w:szCs w:val="24"/>
              </w:rPr>
            </w:pPr>
            <w:r>
              <w:rPr>
                <w:rFonts w:ascii="Times New Roman" w:hAnsi="Times New Roman"/>
                <w:sz w:val="24"/>
                <w:szCs w:val="24"/>
              </w:rPr>
              <w:t>XI</w:t>
            </w:r>
          </w:p>
        </w:tc>
        <w:tc>
          <w:tcPr>
            <w:tcW w:w="8399" w:type="dxa"/>
          </w:tcPr>
          <w:p w14:paraId="36528DEA" w14:textId="19A016A9" w:rsidR="00983065" w:rsidRPr="00525BD0" w:rsidRDefault="00983065" w:rsidP="001B7FAD">
            <w:pPr>
              <w:spacing w:after="0" w:line="240" w:lineRule="auto"/>
              <w:jc w:val="both"/>
              <w:rPr>
                <w:rFonts w:ascii="Times New Roman" w:hAnsi="Times New Roman"/>
                <w:b/>
                <w:sz w:val="24"/>
                <w:szCs w:val="24"/>
              </w:rPr>
            </w:pPr>
            <w:r w:rsidRPr="00525BD0">
              <w:rPr>
                <w:rFonts w:ascii="Times New Roman" w:hAnsi="Times New Roman"/>
                <w:b/>
                <w:bCs/>
                <w:lang w:val="fr-FR"/>
              </w:rPr>
              <w:t>Étude de cas : Canada</w:t>
            </w:r>
            <w:r w:rsidR="00525BD0" w:rsidRPr="00525BD0">
              <w:rPr>
                <w:rFonts w:ascii="Times New Roman" w:hAnsi="Times New Roman"/>
              </w:rPr>
              <w:t>. Politique du bilinguisme officiel, Québec, écoles d'immersion française/anglaise.</w:t>
            </w:r>
          </w:p>
        </w:tc>
        <w:tc>
          <w:tcPr>
            <w:tcW w:w="857" w:type="dxa"/>
            <w:vAlign w:val="center"/>
          </w:tcPr>
          <w:p w14:paraId="181B1F94" w14:textId="7C8DC419" w:rsidR="00983065" w:rsidRPr="00C977FC" w:rsidRDefault="00525BD0" w:rsidP="001B7FAD">
            <w:pPr>
              <w:spacing w:after="0" w:line="240" w:lineRule="auto"/>
              <w:jc w:val="center"/>
              <w:rPr>
                <w:sz w:val="24"/>
                <w:szCs w:val="24"/>
              </w:rPr>
            </w:pPr>
            <w:r>
              <w:rPr>
                <w:sz w:val="24"/>
                <w:szCs w:val="24"/>
              </w:rPr>
              <w:t>2</w:t>
            </w:r>
          </w:p>
        </w:tc>
      </w:tr>
      <w:tr w:rsidR="00983065" w:rsidRPr="00AD6760" w14:paraId="1474B6AA" w14:textId="77777777" w:rsidTr="00020DC3">
        <w:trPr>
          <w:jc w:val="center"/>
        </w:trPr>
        <w:tc>
          <w:tcPr>
            <w:tcW w:w="1271" w:type="dxa"/>
            <w:vAlign w:val="center"/>
          </w:tcPr>
          <w:p w14:paraId="30467D97" w14:textId="12FCF97E" w:rsidR="00983065" w:rsidRDefault="00983065" w:rsidP="00983065">
            <w:pPr>
              <w:spacing w:after="0" w:line="240" w:lineRule="auto"/>
              <w:jc w:val="center"/>
              <w:rPr>
                <w:rFonts w:ascii="Times New Roman" w:hAnsi="Times New Roman"/>
                <w:sz w:val="24"/>
                <w:szCs w:val="24"/>
              </w:rPr>
            </w:pPr>
            <w:r>
              <w:rPr>
                <w:rFonts w:ascii="Times New Roman" w:hAnsi="Times New Roman"/>
                <w:sz w:val="24"/>
                <w:szCs w:val="24"/>
              </w:rPr>
              <w:t>XII</w:t>
            </w:r>
          </w:p>
        </w:tc>
        <w:tc>
          <w:tcPr>
            <w:tcW w:w="8399" w:type="dxa"/>
            <w:vAlign w:val="center"/>
          </w:tcPr>
          <w:p w14:paraId="1B4CE040" w14:textId="73F3B905" w:rsidR="00983065" w:rsidRPr="00525BD0" w:rsidRDefault="00983065" w:rsidP="00983065">
            <w:pPr>
              <w:spacing w:after="0" w:line="240" w:lineRule="auto"/>
              <w:jc w:val="both"/>
              <w:rPr>
                <w:rFonts w:ascii="Times New Roman" w:hAnsi="Times New Roman"/>
                <w:b/>
                <w:sz w:val="24"/>
                <w:szCs w:val="24"/>
              </w:rPr>
            </w:pPr>
            <w:r w:rsidRPr="00525BD0">
              <w:rPr>
                <w:rFonts w:ascii="Times New Roman" w:hAnsi="Times New Roman"/>
                <w:b/>
                <w:bCs/>
                <w:lang w:val="fr-FR"/>
              </w:rPr>
              <w:t xml:space="preserve">Étude de cas : </w:t>
            </w:r>
            <w:r w:rsidR="00525BD0" w:rsidRPr="00525BD0">
              <w:rPr>
                <w:rFonts w:ascii="Times New Roman" w:hAnsi="Times New Roman"/>
                <w:b/>
                <w:bCs/>
              </w:rPr>
              <w:t>Suisse, Belgique, Luxembourg.</w:t>
            </w:r>
            <w:r w:rsidR="00525BD0" w:rsidRPr="00525BD0">
              <w:rPr>
                <w:rFonts w:ascii="Times New Roman" w:hAnsi="Times New Roman"/>
              </w:rPr>
              <w:t xml:space="preserve"> Politiques linguistiques dans des États multilingues : cohabitation et gestion linguistique.</w:t>
            </w:r>
          </w:p>
        </w:tc>
        <w:tc>
          <w:tcPr>
            <w:tcW w:w="857" w:type="dxa"/>
            <w:vAlign w:val="center"/>
          </w:tcPr>
          <w:p w14:paraId="6F43BB48" w14:textId="65A8EAD1" w:rsidR="00983065" w:rsidRPr="00C977FC" w:rsidRDefault="00525BD0" w:rsidP="00983065">
            <w:pPr>
              <w:spacing w:after="0" w:line="240" w:lineRule="auto"/>
              <w:jc w:val="center"/>
              <w:rPr>
                <w:sz w:val="24"/>
                <w:szCs w:val="24"/>
              </w:rPr>
            </w:pPr>
            <w:r>
              <w:rPr>
                <w:sz w:val="24"/>
                <w:szCs w:val="24"/>
              </w:rPr>
              <w:t>2</w:t>
            </w:r>
          </w:p>
        </w:tc>
      </w:tr>
      <w:tr w:rsidR="00983065" w:rsidRPr="00AD6760" w14:paraId="21C0E7C0" w14:textId="77777777" w:rsidTr="00020DC3">
        <w:trPr>
          <w:jc w:val="center"/>
        </w:trPr>
        <w:tc>
          <w:tcPr>
            <w:tcW w:w="1271" w:type="dxa"/>
            <w:vAlign w:val="center"/>
          </w:tcPr>
          <w:p w14:paraId="0DDA0473" w14:textId="44DBD981" w:rsidR="00983065" w:rsidRDefault="00525BD0" w:rsidP="00983065">
            <w:pPr>
              <w:spacing w:after="0" w:line="240" w:lineRule="auto"/>
              <w:jc w:val="center"/>
              <w:rPr>
                <w:rFonts w:ascii="Times New Roman" w:hAnsi="Times New Roman"/>
                <w:sz w:val="24"/>
                <w:szCs w:val="24"/>
              </w:rPr>
            </w:pPr>
            <w:r>
              <w:rPr>
                <w:rFonts w:ascii="Times New Roman" w:hAnsi="Times New Roman"/>
                <w:sz w:val="24"/>
                <w:szCs w:val="24"/>
              </w:rPr>
              <w:t>XII</w:t>
            </w:r>
          </w:p>
        </w:tc>
        <w:tc>
          <w:tcPr>
            <w:tcW w:w="8399" w:type="dxa"/>
            <w:vAlign w:val="center"/>
          </w:tcPr>
          <w:p w14:paraId="7FE968F2" w14:textId="7135A03D" w:rsidR="00983065" w:rsidRPr="00525BD0" w:rsidRDefault="00525BD0" w:rsidP="00983065">
            <w:pPr>
              <w:spacing w:after="0" w:line="240" w:lineRule="auto"/>
              <w:jc w:val="both"/>
              <w:rPr>
                <w:rFonts w:ascii="Times New Roman" w:hAnsi="Times New Roman"/>
                <w:b/>
                <w:sz w:val="24"/>
                <w:szCs w:val="24"/>
              </w:rPr>
            </w:pPr>
            <w:r w:rsidRPr="00525BD0">
              <w:rPr>
                <w:rFonts w:ascii="Times New Roman" w:hAnsi="Times New Roman"/>
                <w:b/>
                <w:bCs/>
              </w:rPr>
              <w:t>Outils et instruments de politique linguistique</w:t>
            </w:r>
            <w:r w:rsidRPr="00525BD0">
              <w:rPr>
                <w:rFonts w:ascii="Times New Roman" w:hAnsi="Times New Roman"/>
              </w:rPr>
              <w:t xml:space="preserve">. </w:t>
            </w:r>
            <w:r w:rsidR="00983065" w:rsidRPr="00525BD0">
              <w:rPr>
                <w:rFonts w:ascii="Times New Roman" w:hAnsi="Times New Roman"/>
              </w:rPr>
              <w:t>Manuels scolaires, programmes officiels, formation des enseignants, évaluations.</w:t>
            </w:r>
          </w:p>
        </w:tc>
        <w:tc>
          <w:tcPr>
            <w:tcW w:w="857" w:type="dxa"/>
            <w:vAlign w:val="center"/>
          </w:tcPr>
          <w:p w14:paraId="386BFC75" w14:textId="1C4537F5" w:rsidR="00983065" w:rsidRPr="00C977FC" w:rsidRDefault="00525BD0" w:rsidP="00983065">
            <w:pPr>
              <w:spacing w:after="0" w:line="240" w:lineRule="auto"/>
              <w:jc w:val="center"/>
              <w:rPr>
                <w:sz w:val="24"/>
                <w:szCs w:val="24"/>
              </w:rPr>
            </w:pPr>
            <w:r>
              <w:rPr>
                <w:sz w:val="24"/>
                <w:szCs w:val="24"/>
              </w:rPr>
              <w:t>2</w:t>
            </w:r>
          </w:p>
        </w:tc>
      </w:tr>
      <w:tr w:rsidR="00983065" w:rsidRPr="00AD6760" w14:paraId="1789606B" w14:textId="77777777" w:rsidTr="00020DC3">
        <w:trPr>
          <w:jc w:val="center"/>
        </w:trPr>
        <w:tc>
          <w:tcPr>
            <w:tcW w:w="1271" w:type="dxa"/>
            <w:vAlign w:val="center"/>
          </w:tcPr>
          <w:p w14:paraId="3E724F89" w14:textId="06989A64" w:rsidR="00983065" w:rsidRDefault="00525BD0" w:rsidP="00983065">
            <w:pPr>
              <w:spacing w:after="0" w:line="240" w:lineRule="auto"/>
              <w:jc w:val="center"/>
              <w:rPr>
                <w:rFonts w:ascii="Times New Roman" w:hAnsi="Times New Roman"/>
                <w:sz w:val="24"/>
                <w:szCs w:val="24"/>
              </w:rPr>
            </w:pPr>
            <w:r>
              <w:rPr>
                <w:rFonts w:ascii="Times New Roman" w:hAnsi="Times New Roman"/>
                <w:sz w:val="24"/>
                <w:szCs w:val="24"/>
              </w:rPr>
              <w:t>XIV</w:t>
            </w:r>
          </w:p>
        </w:tc>
        <w:tc>
          <w:tcPr>
            <w:tcW w:w="8399" w:type="dxa"/>
            <w:vAlign w:val="center"/>
          </w:tcPr>
          <w:p w14:paraId="426208EB" w14:textId="1BD6F4EA" w:rsidR="00983065" w:rsidRPr="00525BD0" w:rsidRDefault="00525BD0" w:rsidP="00983065">
            <w:pPr>
              <w:spacing w:after="0" w:line="240" w:lineRule="auto"/>
              <w:jc w:val="both"/>
              <w:rPr>
                <w:rFonts w:ascii="Times New Roman" w:hAnsi="Times New Roman"/>
                <w:b/>
                <w:sz w:val="24"/>
                <w:szCs w:val="24"/>
              </w:rPr>
            </w:pPr>
            <w:r>
              <w:rPr>
                <w:rFonts w:ascii="Times New Roman" w:hAnsi="Times New Roman"/>
              </w:rPr>
              <w:t>R</w:t>
            </w:r>
            <w:r w:rsidR="00983065" w:rsidRPr="00525BD0">
              <w:rPr>
                <w:rFonts w:ascii="Times New Roman" w:hAnsi="Times New Roman"/>
              </w:rPr>
              <w:t>éforme</w:t>
            </w:r>
            <w:r>
              <w:rPr>
                <w:rFonts w:ascii="Times New Roman" w:hAnsi="Times New Roman"/>
              </w:rPr>
              <w:t>s</w:t>
            </w:r>
            <w:r w:rsidR="00983065" w:rsidRPr="00525BD0">
              <w:rPr>
                <w:rFonts w:ascii="Times New Roman" w:hAnsi="Times New Roman"/>
              </w:rPr>
              <w:t xml:space="preserve"> éducative, polémique</w:t>
            </w:r>
            <w:r>
              <w:rPr>
                <w:rFonts w:ascii="Times New Roman" w:hAnsi="Times New Roman"/>
              </w:rPr>
              <w:t>s</w:t>
            </w:r>
            <w:r w:rsidR="00983065" w:rsidRPr="00525BD0">
              <w:rPr>
                <w:rFonts w:ascii="Times New Roman" w:hAnsi="Times New Roman"/>
              </w:rPr>
              <w:t xml:space="preserve"> linguistique</w:t>
            </w:r>
            <w:r>
              <w:rPr>
                <w:rFonts w:ascii="Times New Roman" w:hAnsi="Times New Roman"/>
              </w:rPr>
              <w:t>s en Europe.</w:t>
            </w:r>
          </w:p>
        </w:tc>
        <w:tc>
          <w:tcPr>
            <w:tcW w:w="857" w:type="dxa"/>
            <w:vAlign w:val="center"/>
          </w:tcPr>
          <w:p w14:paraId="45FD0A85" w14:textId="2680784A" w:rsidR="00983065" w:rsidRPr="00C977FC" w:rsidRDefault="00525BD0" w:rsidP="00983065">
            <w:pPr>
              <w:spacing w:after="0" w:line="240" w:lineRule="auto"/>
              <w:jc w:val="center"/>
              <w:rPr>
                <w:sz w:val="24"/>
                <w:szCs w:val="24"/>
              </w:rPr>
            </w:pPr>
            <w:r>
              <w:rPr>
                <w:sz w:val="24"/>
                <w:szCs w:val="24"/>
              </w:rPr>
              <w:t>2</w:t>
            </w:r>
          </w:p>
        </w:tc>
      </w:tr>
      <w:tr w:rsidR="00983065" w:rsidRPr="00AD6760" w14:paraId="57D01962" w14:textId="77777777" w:rsidTr="136E1F19">
        <w:trPr>
          <w:jc w:val="center"/>
        </w:trPr>
        <w:tc>
          <w:tcPr>
            <w:tcW w:w="1271" w:type="dxa"/>
          </w:tcPr>
          <w:p w14:paraId="525731DE" w14:textId="733EF1F6" w:rsidR="00983065" w:rsidRPr="00AD6760" w:rsidRDefault="00983065" w:rsidP="00983065">
            <w:pPr>
              <w:spacing w:after="0" w:line="240" w:lineRule="auto"/>
              <w:jc w:val="center"/>
              <w:rPr>
                <w:rFonts w:ascii="Times New Roman" w:hAnsi="Times New Roman"/>
                <w:sz w:val="24"/>
                <w:szCs w:val="24"/>
              </w:rPr>
            </w:pPr>
          </w:p>
        </w:tc>
        <w:tc>
          <w:tcPr>
            <w:tcW w:w="8399" w:type="dxa"/>
          </w:tcPr>
          <w:p w14:paraId="7620E052" w14:textId="77777777" w:rsidR="00983065" w:rsidRPr="00AD6760" w:rsidRDefault="00983065" w:rsidP="00983065">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77777777" w:rsidR="00983065" w:rsidRPr="00C977FC" w:rsidRDefault="00983065" w:rsidP="00983065">
            <w:pPr>
              <w:spacing w:after="0" w:line="240" w:lineRule="auto"/>
              <w:jc w:val="center"/>
              <w:rPr>
                <w:rFonts w:ascii="Times New Roman" w:hAnsi="Times New Roman"/>
                <w:b/>
                <w:bCs/>
                <w:sz w:val="24"/>
                <w:szCs w:val="24"/>
              </w:rPr>
            </w:pPr>
            <w:r w:rsidRPr="00C977FC">
              <w:rPr>
                <w:rFonts w:ascii="Times New Roman" w:hAnsi="Times New Roman"/>
                <w:b/>
                <w:bCs/>
                <w:sz w:val="24"/>
                <w:szCs w:val="24"/>
              </w:rPr>
              <w:t>28</w:t>
            </w:r>
          </w:p>
        </w:tc>
      </w:tr>
      <w:tr w:rsidR="00983065" w:rsidRPr="00AD6760" w14:paraId="210E37E8" w14:textId="77777777" w:rsidTr="136E1F19">
        <w:trPr>
          <w:jc w:val="center"/>
        </w:trPr>
        <w:tc>
          <w:tcPr>
            <w:tcW w:w="10527" w:type="dxa"/>
            <w:gridSpan w:val="3"/>
          </w:tcPr>
          <w:p w14:paraId="494D1DED" w14:textId="154E14CA" w:rsidR="00983065" w:rsidRDefault="00983065" w:rsidP="00983065">
            <w:pPr>
              <w:spacing w:after="0" w:line="240" w:lineRule="auto"/>
              <w:jc w:val="both"/>
              <w:rPr>
                <w:rFonts w:ascii="Times New Roman" w:hAnsi="Times New Roman"/>
                <w:sz w:val="24"/>
                <w:szCs w:val="24"/>
              </w:rPr>
            </w:pPr>
            <w:r w:rsidRPr="00B74967">
              <w:rPr>
                <w:rFonts w:ascii="Times New Roman" w:hAnsi="Times New Roman"/>
                <w:sz w:val="24"/>
                <w:szCs w:val="24"/>
              </w:rPr>
              <w:t>Bibliografie:</w:t>
            </w:r>
          </w:p>
          <w:p w14:paraId="4D590968" w14:textId="3A9E0B97" w:rsidR="001414FA" w:rsidRPr="001414FA" w:rsidRDefault="001414FA" w:rsidP="001414FA">
            <w:pPr>
              <w:spacing w:after="0" w:line="240" w:lineRule="auto"/>
              <w:jc w:val="both"/>
              <w:rPr>
                <w:rFonts w:ascii="Times New Roman" w:hAnsi="Times New Roman"/>
                <w:sz w:val="20"/>
                <w:szCs w:val="20"/>
                <w:lang w:val="fr-FR"/>
              </w:rPr>
            </w:pPr>
            <w:r w:rsidRPr="001414FA">
              <w:rPr>
                <w:rFonts w:ascii="Times New Roman" w:hAnsi="Times New Roman"/>
                <w:sz w:val="20"/>
                <w:szCs w:val="20"/>
                <w:lang w:val="fr-FR"/>
              </w:rPr>
              <w:t>Alen Garabato C. éd (2005), </w:t>
            </w:r>
            <w:r w:rsidRPr="001414FA">
              <w:rPr>
                <w:rFonts w:ascii="Times New Roman" w:hAnsi="Times New Roman"/>
                <w:i/>
                <w:iCs/>
                <w:sz w:val="20"/>
                <w:szCs w:val="20"/>
                <w:lang w:val="fr-FR"/>
              </w:rPr>
              <w:t>L'éveil des nationalités et les revendications linguistiques en Europe (1830-1930)</w:t>
            </w:r>
            <w:r w:rsidRPr="001414FA">
              <w:rPr>
                <w:rFonts w:ascii="Times New Roman" w:hAnsi="Times New Roman"/>
                <w:sz w:val="20"/>
                <w:szCs w:val="20"/>
                <w:lang w:val="fr-FR"/>
              </w:rPr>
              <w:t>, Paris, L'Harmattan</w:t>
            </w:r>
          </w:p>
          <w:p w14:paraId="6BCABA16" w14:textId="565E00AC" w:rsidR="001414FA" w:rsidRPr="001414FA" w:rsidRDefault="001414FA" w:rsidP="001414FA">
            <w:pPr>
              <w:spacing w:after="0" w:line="240" w:lineRule="auto"/>
              <w:jc w:val="both"/>
              <w:rPr>
                <w:rFonts w:ascii="Times New Roman" w:hAnsi="Times New Roman"/>
                <w:sz w:val="20"/>
                <w:szCs w:val="20"/>
                <w:lang w:val="fr-FR"/>
              </w:rPr>
            </w:pPr>
            <w:r w:rsidRPr="001414FA">
              <w:rPr>
                <w:rFonts w:ascii="Times New Roman" w:hAnsi="Times New Roman"/>
                <w:sz w:val="20"/>
                <w:szCs w:val="20"/>
                <w:lang w:val="fr-FR"/>
              </w:rPr>
              <w:t>Alen Garabato C. et Boyer H. (1997), « Les politiques linguistiques de deux communautés “historiques” d'Espagne: la Catalogne et la Galice », </w:t>
            </w:r>
            <w:r w:rsidRPr="001414FA">
              <w:rPr>
                <w:rFonts w:ascii="Times New Roman" w:hAnsi="Times New Roman"/>
                <w:i/>
                <w:iCs/>
                <w:sz w:val="20"/>
                <w:szCs w:val="20"/>
                <w:lang w:val="fr-FR"/>
              </w:rPr>
              <w:t>Mots</w:t>
            </w:r>
            <w:r w:rsidRPr="001414FA">
              <w:rPr>
                <w:rFonts w:ascii="Times New Roman" w:hAnsi="Times New Roman"/>
                <w:sz w:val="20"/>
                <w:szCs w:val="20"/>
                <w:lang w:val="fr-FR"/>
              </w:rPr>
              <w:t> 52</w:t>
            </w:r>
          </w:p>
          <w:p w14:paraId="5B51DFFE" w14:textId="77DD1D13" w:rsidR="001414FA" w:rsidRPr="001414FA" w:rsidRDefault="001414FA" w:rsidP="001414FA">
            <w:pPr>
              <w:spacing w:after="0" w:line="240" w:lineRule="auto"/>
              <w:jc w:val="both"/>
              <w:rPr>
                <w:rFonts w:ascii="Times New Roman" w:hAnsi="Times New Roman"/>
                <w:sz w:val="20"/>
                <w:szCs w:val="20"/>
                <w:lang w:val="fr-FR"/>
              </w:rPr>
            </w:pPr>
            <w:r w:rsidRPr="001414FA">
              <w:rPr>
                <w:rFonts w:ascii="Times New Roman" w:hAnsi="Times New Roman"/>
                <w:sz w:val="20"/>
                <w:szCs w:val="20"/>
                <w:lang w:val="fr-FR"/>
              </w:rPr>
              <w:t>Aracil Ll. V. (1965), </w:t>
            </w:r>
            <w:r w:rsidRPr="001414FA">
              <w:rPr>
                <w:rFonts w:ascii="Times New Roman" w:hAnsi="Times New Roman"/>
                <w:i/>
                <w:iCs/>
                <w:sz w:val="20"/>
                <w:szCs w:val="20"/>
                <w:lang w:val="fr-FR"/>
              </w:rPr>
              <w:t>Conflit linguistique et normalisation dans l'Europe nouvelle</w:t>
            </w:r>
            <w:r w:rsidRPr="001414FA">
              <w:rPr>
                <w:rFonts w:ascii="Times New Roman" w:hAnsi="Times New Roman"/>
                <w:sz w:val="20"/>
                <w:szCs w:val="20"/>
                <w:lang w:val="fr-FR"/>
              </w:rPr>
              <w:t>, Nancy, CUE.</w:t>
            </w:r>
          </w:p>
          <w:p w14:paraId="50A782CC" w14:textId="7C70FD15" w:rsidR="00983065" w:rsidRDefault="00983065"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 xml:space="preserve">Berthoud Anne-Claude, 2015, </w:t>
            </w:r>
            <w:r w:rsidRPr="001414FA">
              <w:rPr>
                <w:rFonts w:ascii="Times New Roman" w:eastAsia="Calibri" w:hAnsi="Times New Roman"/>
                <w:i/>
                <w:iCs/>
                <w:sz w:val="20"/>
                <w:szCs w:val="20"/>
              </w:rPr>
              <w:t>Les enjeux du multilinguisme our la qualité de l enseignement supérieur de la recherche dans le contexte de l internationalisation</w:t>
            </w:r>
            <w:r w:rsidRPr="001414FA">
              <w:rPr>
                <w:rFonts w:ascii="Times New Roman" w:eastAsia="Calibri" w:hAnsi="Times New Roman"/>
                <w:sz w:val="20"/>
                <w:szCs w:val="20"/>
              </w:rPr>
              <w:t>, Conseil Européen pour les langues, MEMO.</w:t>
            </w:r>
          </w:p>
          <w:p w14:paraId="3D15BC7D" w14:textId="19C0BE37" w:rsidR="00983065" w:rsidRDefault="00983065"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 xml:space="preserve">Boncescu, Silvia. 2020. </w:t>
            </w:r>
            <w:r w:rsidRPr="001414FA">
              <w:rPr>
                <w:rFonts w:ascii="Times New Roman" w:eastAsia="Calibri" w:hAnsi="Times New Roman"/>
                <w:i/>
                <w:iCs/>
                <w:sz w:val="20"/>
                <w:szCs w:val="20"/>
              </w:rPr>
              <w:t>Notions fondamentales pour l interprète</w:t>
            </w:r>
            <w:r w:rsidRPr="001414FA">
              <w:rPr>
                <w:rFonts w:ascii="Times New Roman" w:eastAsia="Calibri" w:hAnsi="Times New Roman"/>
                <w:sz w:val="20"/>
                <w:szCs w:val="20"/>
              </w:rPr>
              <w:t>. Sitech.</w:t>
            </w:r>
          </w:p>
          <w:p w14:paraId="2F24E7AD" w14:textId="26B92F8F" w:rsidR="001414FA" w:rsidRDefault="001414FA"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Bonnet</w:t>
            </w:r>
            <w:r>
              <w:rPr>
                <w:rFonts w:ascii="Times New Roman" w:eastAsia="Calibri" w:hAnsi="Times New Roman"/>
                <w:sz w:val="20"/>
                <w:szCs w:val="20"/>
              </w:rPr>
              <w:t>, V.,</w:t>
            </w:r>
            <w:r w:rsidRPr="001414FA">
              <w:rPr>
                <w:rFonts w:ascii="Times New Roman" w:eastAsia="Calibri" w:hAnsi="Times New Roman"/>
                <w:sz w:val="20"/>
                <w:szCs w:val="20"/>
              </w:rPr>
              <w:t>  Boyer,</w:t>
            </w:r>
            <w:r>
              <w:rPr>
                <w:rFonts w:ascii="Times New Roman" w:eastAsia="Calibri" w:hAnsi="Times New Roman"/>
                <w:sz w:val="20"/>
                <w:szCs w:val="20"/>
              </w:rPr>
              <w:t xml:space="preserve"> H., </w:t>
            </w:r>
            <w:r w:rsidRPr="001414FA">
              <w:rPr>
                <w:rFonts w:ascii="Times New Roman" w:eastAsia="Calibri" w:hAnsi="Times New Roman"/>
                <w:sz w:val="20"/>
                <w:szCs w:val="20"/>
              </w:rPr>
              <w:t> « Marché linguistique, marché politico-médiatique », </w:t>
            </w:r>
            <w:r w:rsidRPr="001414FA">
              <w:rPr>
                <w:rFonts w:ascii="Times New Roman" w:eastAsia="Calibri" w:hAnsi="Times New Roman"/>
                <w:i/>
                <w:iCs/>
                <w:sz w:val="20"/>
                <w:szCs w:val="20"/>
              </w:rPr>
              <w:t>Mots. Les langages du politique</w:t>
            </w:r>
            <w:r w:rsidRPr="001414FA">
              <w:rPr>
                <w:rFonts w:ascii="Times New Roman" w:eastAsia="Calibri" w:hAnsi="Times New Roman"/>
                <w:sz w:val="20"/>
                <w:szCs w:val="20"/>
              </w:rPr>
              <w:t>, 111 | 2016, 9-14.</w:t>
            </w:r>
          </w:p>
          <w:p w14:paraId="078D2927" w14:textId="77777777" w:rsidR="001414FA" w:rsidRPr="00F901F2" w:rsidRDefault="001414FA" w:rsidP="001414FA">
            <w:pPr>
              <w:spacing w:after="0"/>
              <w:ind w:right="57"/>
              <w:jc w:val="both"/>
              <w:outlineLvl w:val="1"/>
              <w:rPr>
                <w:rFonts w:ascii="Times New Roman" w:eastAsia="Calibri" w:hAnsi="Times New Roman"/>
                <w:sz w:val="20"/>
                <w:szCs w:val="20"/>
                <w:lang w:val="fr-FR"/>
              </w:rPr>
            </w:pPr>
            <w:r w:rsidRPr="001414FA">
              <w:rPr>
                <w:rFonts w:ascii="Times New Roman" w:eastAsia="Calibri" w:hAnsi="Times New Roman"/>
                <w:sz w:val="20"/>
                <w:szCs w:val="20"/>
                <w:lang w:val="fr-FR"/>
              </w:rPr>
              <w:t>Boughanem, Mokhtar. Benaldi, Hassiba. (2022) Les stratégies glottopolitiques de quelques auteurs algériens d’expression française : quels positionnements face aux langues ?. </w:t>
            </w:r>
            <w:r w:rsidRPr="00F901F2">
              <w:rPr>
                <w:rFonts w:ascii="Times New Roman" w:eastAsia="Calibri" w:hAnsi="Times New Roman"/>
                <w:i/>
                <w:iCs/>
                <w:sz w:val="20"/>
                <w:szCs w:val="20"/>
                <w:lang w:val="fr-FR"/>
              </w:rPr>
              <w:t>Glottopol</w:t>
            </w:r>
            <w:r w:rsidRPr="00F901F2">
              <w:rPr>
                <w:rFonts w:ascii="Times New Roman" w:eastAsia="Calibri" w:hAnsi="Times New Roman"/>
                <w:sz w:val="20"/>
                <w:szCs w:val="20"/>
                <w:lang w:val="fr-FR"/>
              </w:rPr>
              <w:t>. DOI: </w:t>
            </w:r>
            <w:hyperlink r:id="rId11" w:history="1">
              <w:r w:rsidRPr="00F901F2">
                <w:rPr>
                  <w:rStyle w:val="Hyperlink"/>
                  <w:rFonts w:ascii="Times New Roman" w:eastAsia="Calibri" w:hAnsi="Times New Roman"/>
                  <w:sz w:val="20"/>
                  <w:szCs w:val="20"/>
                  <w:lang w:val="fr-FR"/>
                </w:rPr>
                <w:t>10.4000/glottopol.834</w:t>
              </w:r>
            </w:hyperlink>
          </w:p>
          <w:p w14:paraId="3894C60E" w14:textId="58233D81" w:rsidR="00983065" w:rsidRPr="001414FA" w:rsidRDefault="00983065" w:rsidP="001414FA">
            <w:pPr>
              <w:spacing w:after="0"/>
              <w:ind w:right="57"/>
              <w:jc w:val="both"/>
              <w:outlineLvl w:val="1"/>
              <w:rPr>
                <w:rFonts w:ascii="Times New Roman" w:hAnsi="Times New Roman"/>
                <w:sz w:val="20"/>
                <w:szCs w:val="20"/>
              </w:rPr>
            </w:pPr>
            <w:r w:rsidRPr="001414FA">
              <w:rPr>
                <w:rFonts w:ascii="Times New Roman" w:hAnsi="Times New Roman"/>
                <w:sz w:val="20"/>
                <w:szCs w:val="20"/>
              </w:rPr>
              <w:t xml:space="preserve">Calvet, Luois-Jean. 2021.  </w:t>
            </w:r>
            <w:r w:rsidRPr="001414FA">
              <w:rPr>
                <w:rFonts w:ascii="Times New Roman" w:hAnsi="Times New Roman"/>
                <w:i/>
                <w:iCs/>
                <w:sz w:val="20"/>
                <w:szCs w:val="20"/>
              </w:rPr>
              <w:t>Politique linguistique,</w:t>
            </w:r>
            <w:r w:rsidRPr="001414FA">
              <w:rPr>
                <w:rFonts w:ascii="Times New Roman" w:hAnsi="Times New Roman"/>
                <w:sz w:val="20"/>
                <w:szCs w:val="20"/>
              </w:rPr>
              <w:t xml:space="preserve"> Langage et société, pp. 275-280 </w:t>
            </w:r>
            <w:hyperlink r:id="rId12" w:history="1">
              <w:r w:rsidRPr="001414FA">
                <w:rPr>
                  <w:rStyle w:val="Hyperlink"/>
                  <w:rFonts w:ascii="Times New Roman" w:hAnsi="Times New Roman"/>
                  <w:sz w:val="20"/>
                  <w:szCs w:val="20"/>
                </w:rPr>
                <w:t>https://shs.cairn.info/revue-langage-et-societe-2021-HS1-page-275?lang=fr</w:t>
              </w:r>
            </w:hyperlink>
          </w:p>
          <w:p w14:paraId="13FE9C50" w14:textId="429F8050" w:rsidR="00983065" w:rsidRPr="001414FA" w:rsidRDefault="00983065"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 xml:space="preserve">Cenac Ioana, 2015. </w:t>
            </w:r>
            <w:r w:rsidRPr="001414FA">
              <w:rPr>
                <w:rFonts w:ascii="Times New Roman" w:eastAsia="Calibri" w:hAnsi="Times New Roman"/>
                <w:i/>
                <w:iCs/>
                <w:sz w:val="20"/>
                <w:szCs w:val="20"/>
              </w:rPr>
              <w:t>Interculturalitate şi plurilingvism în context european</w:t>
            </w:r>
            <w:r w:rsidRPr="001414FA">
              <w:rPr>
                <w:rFonts w:ascii="Times New Roman" w:eastAsia="Calibri" w:hAnsi="Times New Roman"/>
                <w:sz w:val="20"/>
                <w:szCs w:val="20"/>
              </w:rPr>
              <w:t>, Casa Cărţii de Ştiinţă, Cluj-Napoca.</w:t>
            </w:r>
          </w:p>
          <w:p w14:paraId="6F552780" w14:textId="51FE886C" w:rsidR="001414FA" w:rsidRPr="001414FA" w:rsidRDefault="001414FA"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 xml:space="preserve">Alen Garabato et all-  Université Montpellier 3. Gestions des plurilinguismes — Politique, planification, aménagement linguistiques. Université Paul-Valéry Montpellier 3, UOH. </w:t>
            </w:r>
            <w:hyperlink r:id="rId13" w:history="1">
              <w:r w:rsidRPr="001414FA">
                <w:rPr>
                  <w:rStyle w:val="Hyperlink"/>
                  <w:rFonts w:ascii="Times New Roman" w:eastAsia="Calibri" w:hAnsi="Times New Roman"/>
                  <w:sz w:val="20"/>
                  <w:szCs w:val="20"/>
                </w:rPr>
                <w:t>https://www.univ-montp3.fr/uoh/politiques_linguistiques</w:t>
              </w:r>
            </w:hyperlink>
            <w:r w:rsidRPr="001414FA">
              <w:rPr>
                <w:rFonts w:ascii="Times New Roman" w:eastAsia="Calibri" w:hAnsi="Times New Roman"/>
                <w:sz w:val="20"/>
                <w:szCs w:val="20"/>
              </w:rPr>
              <w:t xml:space="preserve">. </w:t>
            </w:r>
          </w:p>
          <w:p w14:paraId="56DEB4CB" w14:textId="5E315F78" w:rsidR="00983065" w:rsidRDefault="00983065" w:rsidP="001414FA">
            <w:pPr>
              <w:spacing w:after="0"/>
              <w:ind w:right="57"/>
              <w:jc w:val="both"/>
              <w:outlineLvl w:val="1"/>
              <w:rPr>
                <w:rFonts w:ascii="Times New Roman" w:eastAsia="Calibri" w:hAnsi="Times New Roman"/>
                <w:sz w:val="20"/>
                <w:szCs w:val="20"/>
              </w:rPr>
            </w:pPr>
            <w:r w:rsidRPr="001414FA">
              <w:rPr>
                <w:rFonts w:ascii="Times New Roman" w:eastAsia="Calibri" w:hAnsi="Times New Roman"/>
                <w:sz w:val="20"/>
                <w:szCs w:val="20"/>
              </w:rPr>
              <w:t xml:space="preserve">Glessgen Martin-Dietrich. 2014, </w:t>
            </w:r>
            <w:r w:rsidRPr="001414FA">
              <w:rPr>
                <w:rFonts w:ascii="Times New Roman" w:eastAsia="Calibri" w:hAnsi="Times New Roman"/>
                <w:i/>
                <w:iCs/>
                <w:sz w:val="20"/>
                <w:szCs w:val="20"/>
              </w:rPr>
              <w:t>Lingvistică romanică: domenii şi metode în lingvistica franceză şi romanică</w:t>
            </w:r>
            <w:r w:rsidRPr="001414FA">
              <w:rPr>
                <w:rFonts w:ascii="Times New Roman" w:eastAsia="Calibri" w:hAnsi="Times New Roman"/>
                <w:sz w:val="20"/>
                <w:szCs w:val="20"/>
              </w:rPr>
              <w:t xml:space="preserve">, Editura Universităţii Al.I. Cuza, Iaşi. </w:t>
            </w:r>
          </w:p>
          <w:p w14:paraId="161D94A8" w14:textId="77777777" w:rsidR="001414FA" w:rsidRPr="0008078C" w:rsidRDefault="001414FA" w:rsidP="001414FA">
            <w:pPr>
              <w:spacing w:after="0"/>
              <w:ind w:right="57"/>
              <w:jc w:val="both"/>
              <w:outlineLvl w:val="1"/>
              <w:rPr>
                <w:rFonts w:ascii="Times New Roman" w:eastAsia="Calibri" w:hAnsi="Times New Roman"/>
                <w:sz w:val="20"/>
                <w:szCs w:val="20"/>
                <w:lang w:val="fr-FR"/>
              </w:rPr>
            </w:pPr>
            <w:r w:rsidRPr="001414FA">
              <w:rPr>
                <w:rFonts w:ascii="Times New Roman" w:eastAsia="Calibri" w:hAnsi="Times New Roman"/>
                <w:sz w:val="20"/>
                <w:szCs w:val="20"/>
                <w:lang w:val="fr-FR"/>
              </w:rPr>
              <w:t>Maréchal, Maxime. (2022) Engagements institutionnels. Enjeux glottopolitiques de l’interprétation dans les instances décisionnaires de l’asile en France. </w:t>
            </w:r>
            <w:r w:rsidRPr="0008078C">
              <w:rPr>
                <w:rFonts w:ascii="Times New Roman" w:eastAsia="Calibri" w:hAnsi="Times New Roman"/>
                <w:i/>
                <w:iCs/>
                <w:sz w:val="20"/>
                <w:szCs w:val="20"/>
                <w:lang w:val="fr-FR"/>
              </w:rPr>
              <w:t>Glottopol</w:t>
            </w:r>
            <w:r w:rsidRPr="0008078C">
              <w:rPr>
                <w:rFonts w:ascii="Times New Roman" w:eastAsia="Calibri" w:hAnsi="Times New Roman"/>
                <w:sz w:val="20"/>
                <w:szCs w:val="20"/>
                <w:lang w:val="fr-FR"/>
              </w:rPr>
              <w:t>. DOI: </w:t>
            </w:r>
            <w:hyperlink r:id="rId14" w:history="1">
              <w:r w:rsidRPr="0008078C">
                <w:rPr>
                  <w:rStyle w:val="Hyperlink"/>
                  <w:rFonts w:ascii="Times New Roman" w:eastAsia="Calibri" w:hAnsi="Times New Roman"/>
                  <w:sz w:val="20"/>
                  <w:szCs w:val="20"/>
                  <w:lang w:val="fr-FR"/>
                </w:rPr>
                <w:t>10.4000/glottopol.1653</w:t>
              </w:r>
            </w:hyperlink>
          </w:p>
          <w:p w14:paraId="185EDC02" w14:textId="34DB1D5B" w:rsidR="00525BD0" w:rsidRDefault="001414FA" w:rsidP="00AD3AF6">
            <w:pPr>
              <w:spacing w:after="0"/>
              <w:ind w:right="57"/>
              <w:jc w:val="both"/>
              <w:outlineLvl w:val="1"/>
              <w:rPr>
                <w:rFonts w:ascii="Times New Roman" w:eastAsia="Calibri" w:hAnsi="Times New Roman"/>
                <w:sz w:val="24"/>
                <w:szCs w:val="24"/>
              </w:rPr>
            </w:pPr>
            <w:r w:rsidRPr="001414FA">
              <w:rPr>
                <w:rFonts w:ascii="Times New Roman" w:eastAsia="Calibri" w:hAnsi="Times New Roman"/>
                <w:sz w:val="20"/>
                <w:szCs w:val="20"/>
                <w:lang w:val="fr-FR"/>
              </w:rPr>
              <w:t>Villa-Perez, Valeria. Tomc, Sandra. (2022) La glottopolitique en (inter)action. sur les microactes conversationnels des agents d’une communauté d’apprentissage. </w:t>
            </w:r>
            <w:r w:rsidRPr="001414FA">
              <w:rPr>
                <w:rFonts w:ascii="Times New Roman" w:eastAsia="Calibri" w:hAnsi="Times New Roman"/>
                <w:i/>
                <w:iCs/>
                <w:sz w:val="20"/>
                <w:szCs w:val="20"/>
                <w:lang w:val="en-US"/>
              </w:rPr>
              <w:t>Glottopol</w:t>
            </w:r>
            <w:r w:rsidRPr="001414FA">
              <w:rPr>
                <w:rFonts w:ascii="Times New Roman" w:eastAsia="Calibri" w:hAnsi="Times New Roman"/>
                <w:sz w:val="20"/>
                <w:szCs w:val="20"/>
                <w:lang w:val="en-US"/>
              </w:rPr>
              <w:t>. DOI: </w:t>
            </w:r>
            <w:hyperlink r:id="rId15" w:history="1">
              <w:r w:rsidRPr="001414FA">
                <w:rPr>
                  <w:rStyle w:val="Hyperlink"/>
                  <w:rFonts w:ascii="Times New Roman" w:eastAsia="Calibri" w:hAnsi="Times New Roman"/>
                  <w:sz w:val="20"/>
                  <w:szCs w:val="20"/>
                  <w:lang w:val="en-US"/>
                </w:rPr>
                <w:t>10.4000/glottopol.1826</w:t>
              </w:r>
            </w:hyperlink>
          </w:p>
          <w:p w14:paraId="14F5496B" w14:textId="648074FF" w:rsidR="00983065" w:rsidRPr="00745DEC" w:rsidRDefault="00983065" w:rsidP="00983065">
            <w:pPr>
              <w:pStyle w:val="ListParagraph"/>
              <w:spacing w:after="0"/>
              <w:ind w:left="417" w:right="57"/>
              <w:jc w:val="both"/>
              <w:outlineLvl w:val="1"/>
              <w:rPr>
                <w:color w:val="000000" w:themeColor="text1"/>
                <w:sz w:val="24"/>
                <w:szCs w:val="24"/>
                <w:highlight w:val="yellow"/>
              </w:rPr>
            </w:pPr>
          </w:p>
        </w:tc>
      </w:tr>
    </w:tbl>
    <w:p w14:paraId="0CDD3DC7" w14:textId="52BC28E2" w:rsidR="002A2A27" w:rsidRDefault="002A2A27"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3"/>
        <w:gridCol w:w="2069"/>
        <w:gridCol w:w="1862"/>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5B486057">
        <w:trPr>
          <w:trHeight w:val="135"/>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893596" w:rsidRDefault="001232AB" w:rsidP="001232AB">
            <w:pPr>
              <w:pStyle w:val="TableParagraph"/>
              <w:ind w:right="144"/>
              <w:rPr>
                <w:sz w:val="24"/>
                <w:szCs w:val="24"/>
              </w:rPr>
            </w:pPr>
            <w:r w:rsidRPr="00893596">
              <w:rPr>
                <w:sz w:val="24"/>
                <w:szCs w:val="24"/>
              </w:rPr>
              <w:t>- capacitatea de asimiliare și aplicare a cunoştinţelor învăţate;</w:t>
            </w:r>
          </w:p>
          <w:p w14:paraId="1705B273" w14:textId="78FC63D2" w:rsidR="006E2D3A" w:rsidRPr="001232AB" w:rsidRDefault="001232AB" w:rsidP="00034F83">
            <w:pPr>
              <w:pStyle w:val="TableParagraph"/>
              <w:ind w:right="144"/>
              <w:jc w:val="both"/>
              <w:rPr>
                <w:sz w:val="24"/>
                <w:szCs w:val="24"/>
                <w:highlight w:val="yellow"/>
              </w:rPr>
            </w:pPr>
            <w:r w:rsidRPr="00893596">
              <w:rPr>
                <w:sz w:val="24"/>
                <w:szCs w:val="24"/>
              </w:rPr>
              <w:t>- capacitatea de a opera cu cunoştinţele asimilate în activităţi intelectuale complexe.</w:t>
            </w:r>
          </w:p>
        </w:tc>
        <w:tc>
          <w:tcPr>
            <w:tcW w:w="2193" w:type="dxa"/>
          </w:tcPr>
          <w:p w14:paraId="7A177B41" w14:textId="77777777" w:rsidR="001232AB" w:rsidRPr="00893596" w:rsidRDefault="001232AB" w:rsidP="001232AB">
            <w:pPr>
              <w:ind w:left="144" w:right="144"/>
              <w:jc w:val="both"/>
              <w:rPr>
                <w:rFonts w:ascii="Times New Roman" w:hAnsi="Times New Roman"/>
                <w:sz w:val="24"/>
                <w:szCs w:val="24"/>
              </w:rPr>
            </w:pPr>
            <w:r w:rsidRPr="00893596">
              <w:rPr>
                <w:rFonts w:ascii="Times New Roman" w:hAnsi="Times New Roman"/>
                <w:sz w:val="24"/>
                <w:szCs w:val="24"/>
                <w:lang w:val="it-IT"/>
              </w:rPr>
              <w:t>Evaluare formativ</w:t>
            </w:r>
            <w:r w:rsidRPr="00893596">
              <w:rPr>
                <w:rFonts w:ascii="Times New Roman" w:hAnsi="Times New Roman"/>
                <w:sz w:val="24"/>
                <w:szCs w:val="24"/>
              </w:rPr>
              <w:t>ă</w:t>
            </w:r>
          </w:p>
          <w:p w14:paraId="71E06A31" w14:textId="77777777" w:rsidR="001232AB" w:rsidRPr="00893596" w:rsidRDefault="001232AB" w:rsidP="001232AB">
            <w:pPr>
              <w:ind w:left="144" w:right="144"/>
              <w:jc w:val="both"/>
              <w:rPr>
                <w:rFonts w:ascii="Times New Roman" w:hAnsi="Times New Roman"/>
                <w:sz w:val="24"/>
                <w:szCs w:val="24"/>
                <w:lang w:val="it-IT"/>
              </w:rPr>
            </w:pPr>
            <w:r w:rsidRPr="00893596">
              <w:rPr>
                <w:rFonts w:ascii="Times New Roman" w:hAnsi="Times New Roman"/>
                <w:sz w:val="24"/>
                <w:szCs w:val="24"/>
                <w:lang w:val="it-IT"/>
              </w:rPr>
              <w:t>- Referat</w:t>
            </w:r>
          </w:p>
          <w:p w14:paraId="4956C420" w14:textId="2B751E5C" w:rsidR="001232AB" w:rsidRPr="00893596" w:rsidRDefault="001232AB" w:rsidP="001232AB">
            <w:pPr>
              <w:ind w:left="144" w:right="144"/>
              <w:jc w:val="both"/>
              <w:rPr>
                <w:rFonts w:ascii="Times New Roman" w:hAnsi="Times New Roman"/>
                <w:sz w:val="24"/>
                <w:szCs w:val="24"/>
                <w:lang w:val="it-IT"/>
              </w:rPr>
            </w:pPr>
            <w:r w:rsidRPr="00893596">
              <w:rPr>
                <w:rFonts w:ascii="Times New Roman" w:hAnsi="Times New Roman"/>
                <w:sz w:val="24"/>
                <w:szCs w:val="24"/>
                <w:lang w:val="it-IT"/>
              </w:rPr>
              <w:t>-</w:t>
            </w:r>
            <w:r w:rsidR="00893596">
              <w:rPr>
                <w:rFonts w:ascii="Times New Roman" w:hAnsi="Times New Roman"/>
                <w:sz w:val="24"/>
                <w:szCs w:val="24"/>
                <w:lang w:val="it-IT"/>
              </w:rPr>
              <w:t xml:space="preserve"> </w:t>
            </w:r>
            <w:r w:rsidRPr="00893596">
              <w:rPr>
                <w:rFonts w:ascii="Times New Roman" w:hAnsi="Times New Roman"/>
                <w:sz w:val="24"/>
                <w:szCs w:val="24"/>
                <w:lang w:val="it-IT"/>
              </w:rPr>
              <w:t>Teme</w:t>
            </w:r>
          </w:p>
          <w:p w14:paraId="509BAC5C" w14:textId="3EC32BEB" w:rsidR="002A0FC9" w:rsidRPr="001232AB" w:rsidRDefault="001232AB" w:rsidP="001232AB">
            <w:pPr>
              <w:spacing w:after="0" w:line="240" w:lineRule="auto"/>
              <w:jc w:val="both"/>
              <w:rPr>
                <w:rFonts w:ascii="Times New Roman" w:hAnsi="Times New Roman"/>
                <w:i/>
                <w:iCs/>
                <w:color w:val="00B0F0"/>
                <w:sz w:val="24"/>
                <w:szCs w:val="24"/>
                <w:highlight w:val="yellow"/>
              </w:rPr>
            </w:pPr>
            <w:r w:rsidRPr="00893596">
              <w:rPr>
                <w:rFonts w:ascii="Times New Roman" w:hAnsi="Times New Roman"/>
                <w:sz w:val="24"/>
                <w:szCs w:val="24"/>
                <w:lang w:val="it-IT"/>
              </w:rPr>
              <w:lastRenderedPageBreak/>
              <w:t>Evaluare sumativă (</w:t>
            </w:r>
            <w:r w:rsidRPr="00893596">
              <w:rPr>
                <w:rFonts w:ascii="Times New Roman" w:hAnsi="Times New Roman"/>
                <w:sz w:val="24"/>
                <w:szCs w:val="24"/>
              </w:rPr>
              <w:t>la încheierea perioadei de studiu al disciplinei de învăţământ)</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07DFB025" w14:textId="77777777" w:rsidR="00893596" w:rsidRDefault="00893596" w:rsidP="001232AB">
            <w:pPr>
              <w:pStyle w:val="TableParagraph"/>
              <w:ind w:left="144" w:right="144"/>
              <w:jc w:val="center"/>
              <w:rPr>
                <w:sz w:val="20"/>
                <w:szCs w:val="20"/>
              </w:rPr>
            </w:pPr>
          </w:p>
          <w:p w14:paraId="4AE82BDF" w14:textId="77777777" w:rsidR="00AD3AF6" w:rsidRDefault="00AD3AF6" w:rsidP="001232AB">
            <w:pPr>
              <w:pStyle w:val="TableParagraph"/>
              <w:ind w:left="144" w:right="144"/>
              <w:jc w:val="center"/>
              <w:rPr>
                <w:sz w:val="20"/>
                <w:szCs w:val="20"/>
              </w:rPr>
            </w:pPr>
          </w:p>
          <w:p w14:paraId="04679C0F" w14:textId="171B2824"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15DA9A35" w14:textId="06485ACC" w:rsidR="001232AB" w:rsidRPr="001232AB" w:rsidRDefault="001232AB" w:rsidP="001232AB">
            <w:pPr>
              <w:pStyle w:val="TableParagraph"/>
              <w:ind w:left="144" w:right="144"/>
              <w:jc w:val="center"/>
              <w:rPr>
                <w:sz w:val="20"/>
                <w:szCs w:val="20"/>
              </w:rPr>
            </w:pPr>
            <w:r w:rsidRPr="001232AB">
              <w:rPr>
                <w:sz w:val="20"/>
                <w:szCs w:val="20"/>
              </w:rPr>
              <w:t>20%</w:t>
            </w:r>
          </w:p>
          <w:p w14:paraId="7E5AA3EA" w14:textId="77777777" w:rsidR="001232AB" w:rsidRPr="001232AB" w:rsidRDefault="001232AB" w:rsidP="001232AB">
            <w:pPr>
              <w:pStyle w:val="TableParagraph"/>
              <w:ind w:left="144" w:right="144"/>
              <w:jc w:val="center"/>
              <w:rPr>
                <w:sz w:val="20"/>
                <w:szCs w:val="20"/>
              </w:rPr>
            </w:pPr>
          </w:p>
          <w:p w14:paraId="267BCF9A" w14:textId="77777777" w:rsidR="00AD3AF6" w:rsidRDefault="00AD3AF6" w:rsidP="001232AB">
            <w:pPr>
              <w:spacing w:after="0" w:line="240" w:lineRule="auto"/>
              <w:jc w:val="center"/>
              <w:rPr>
                <w:rFonts w:ascii="Times New Roman" w:hAnsi="Times New Roman"/>
                <w:sz w:val="20"/>
                <w:szCs w:val="20"/>
              </w:rPr>
            </w:pPr>
          </w:p>
          <w:p w14:paraId="7F30234E" w14:textId="47E7E653"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lastRenderedPageBreak/>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11BF176F"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39B929A6" w14:textId="28DCAF82" w:rsidR="00FD0711" w:rsidRPr="004671D0" w:rsidRDefault="00FD0711" w:rsidP="000B3BD0">
            <w:pPr>
              <w:spacing w:after="0" w:line="240" w:lineRule="auto"/>
              <w:jc w:val="center"/>
              <w:rPr>
                <w:rFonts w:ascii="Times New Roman" w:hAnsi="Times New Roman"/>
                <w:sz w:val="24"/>
                <w:szCs w:val="24"/>
                <w:highlight w:val="yellow"/>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5C6EDC22" w:rsidR="00FC63E9" w:rsidRPr="005A7F8C" w:rsidRDefault="00FC63E9" w:rsidP="000B3BD0">
            <w:pPr>
              <w:spacing w:after="0" w:line="240" w:lineRule="auto"/>
              <w:rPr>
                <w:rFonts w:ascii="Times New Roman" w:hAnsi="Times New Roman"/>
                <w:sz w:val="24"/>
                <w:szCs w:val="24"/>
              </w:rPr>
            </w:pP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253BF57" w14:textId="2AA46D9A" w:rsidR="00FD0711" w:rsidRPr="005A7F8C" w:rsidRDefault="00FD0711" w:rsidP="00034F8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284"/>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41284F92" w:rsidR="00072B00" w:rsidRPr="00E31EBB" w:rsidRDefault="00AD3AF6" w:rsidP="000B3BD0">
            <w:pPr>
              <w:rPr>
                <w:rFonts w:ascii="Times New Roman" w:hAnsi="Times New Roman"/>
                <w:sz w:val="24"/>
                <w:szCs w:val="24"/>
              </w:rPr>
            </w:pPr>
            <w:r>
              <w:rPr>
                <w:rFonts w:ascii="Times New Roman" w:hAnsi="Times New Roman"/>
              </w:rPr>
              <w:t>23.09.</w:t>
            </w:r>
            <w:r w:rsidR="009B3C4D" w:rsidRPr="00E31EBB">
              <w:rPr>
                <w:rFonts w:ascii="Times New Roman" w:hAnsi="Times New Roman"/>
              </w:rPr>
              <w:t>202</w:t>
            </w:r>
            <w:r>
              <w:rPr>
                <w:rFonts w:ascii="Times New Roman" w:hAnsi="Times New Roman"/>
              </w:rPr>
              <w:t>5</w:t>
            </w:r>
            <w:r w:rsidR="009B3C4D" w:rsidRPr="00E31EBB">
              <w:rPr>
                <w:rFonts w:ascii="Times New Roman" w:hAnsi="Times New Roman"/>
                <w:sz w:val="16"/>
                <w:szCs w:val="16"/>
              </w:rPr>
              <w:t xml:space="preserve">                                     </w:t>
            </w:r>
          </w:p>
        </w:tc>
        <w:tc>
          <w:tcPr>
            <w:tcW w:w="4277" w:type="dxa"/>
            <w:tcBorders>
              <w:bottom w:val="single" w:sz="4" w:space="0" w:color="auto"/>
            </w:tcBorders>
          </w:tcPr>
          <w:p w14:paraId="32CE3FC6" w14:textId="0FD3D211" w:rsidR="00072B00" w:rsidRDefault="001B7FAD" w:rsidP="000B3BD0">
            <w:pPr>
              <w:rPr>
                <w:rFonts w:ascii="Times New Roman" w:hAnsi="Times New Roman"/>
                <w:sz w:val="24"/>
                <w:szCs w:val="24"/>
              </w:rPr>
            </w:pPr>
            <w:r>
              <w:rPr>
                <w:rFonts w:ascii="Times New Roman" w:hAnsi="Times New Roman"/>
                <w:sz w:val="24"/>
                <w:szCs w:val="24"/>
              </w:rPr>
              <w:t xml:space="preserve">Conf.univ.dr. </w:t>
            </w:r>
            <w:r w:rsidR="00AD3AF6">
              <w:rPr>
                <w:rFonts w:ascii="Times New Roman" w:hAnsi="Times New Roman"/>
                <w:sz w:val="24"/>
                <w:szCs w:val="24"/>
              </w:rPr>
              <w:t>Ilinca Elena-Cristina</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187EBC34" w:rsidR="00FB6888" w:rsidRDefault="001B7FAD" w:rsidP="000B3BD0">
            <w:pPr>
              <w:rPr>
                <w:rFonts w:ascii="Times New Roman" w:hAnsi="Times New Roman"/>
                <w:sz w:val="24"/>
                <w:szCs w:val="24"/>
              </w:rPr>
            </w:pPr>
            <w:r>
              <w:rPr>
                <w:rFonts w:ascii="Times New Roman" w:hAnsi="Times New Roman"/>
                <w:sz w:val="24"/>
                <w:szCs w:val="24"/>
              </w:rPr>
              <w:t>Conf.univ.dr.LauraCîțu</w:t>
            </w:r>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2DA88BA7" w:rsidR="00072B00" w:rsidRPr="00E31EBB" w:rsidRDefault="00AD3AF6" w:rsidP="000B3BD0">
            <w:pPr>
              <w:rPr>
                <w:rFonts w:ascii="Times New Roman" w:hAnsi="Times New Roman"/>
                <w:sz w:val="24"/>
                <w:szCs w:val="24"/>
              </w:rPr>
            </w:pPr>
            <w:r>
              <w:rPr>
                <w:rFonts w:ascii="Times New Roman" w:hAnsi="Times New Roman"/>
              </w:rPr>
              <w:t>24</w:t>
            </w:r>
            <w:r w:rsidR="009B3C4D" w:rsidRPr="00E31EBB">
              <w:rPr>
                <w:rFonts w:ascii="Times New Roman" w:hAnsi="Times New Roman"/>
              </w:rPr>
              <w:t>.</w:t>
            </w:r>
            <w:r>
              <w:rPr>
                <w:rFonts w:ascii="Times New Roman" w:hAnsi="Times New Roman"/>
              </w:rPr>
              <w:t>09</w:t>
            </w:r>
            <w:r w:rsidR="009B3C4D" w:rsidRPr="00E31EBB">
              <w:rPr>
                <w:rFonts w:ascii="Times New Roman" w:hAnsi="Times New Roman"/>
              </w:rPr>
              <w:t>.202</w:t>
            </w:r>
            <w:r>
              <w:rPr>
                <w:rFonts w:ascii="Times New Roman" w:hAnsi="Times New Roman"/>
              </w:rPr>
              <w:t>5</w:t>
            </w:r>
            <w:r w:rsidR="009B3C4D" w:rsidRPr="00E31EBB">
              <w:rPr>
                <w:rFonts w:ascii="Times New Roman" w:hAnsi="Times New Roman"/>
                <w:sz w:val="16"/>
                <w:szCs w:val="16"/>
              </w:rPr>
              <w:t xml:space="preserve">                                     </w:t>
            </w: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31013297" w:rsidR="003075CA" w:rsidRPr="00E31EBB" w:rsidRDefault="00AD3AF6" w:rsidP="000B3BD0">
            <w:pPr>
              <w:rPr>
                <w:rFonts w:ascii="Times New Roman" w:hAnsi="Times New Roman"/>
                <w:sz w:val="24"/>
                <w:szCs w:val="24"/>
              </w:rPr>
            </w:pPr>
            <w:r>
              <w:rPr>
                <w:rFonts w:ascii="Times New Roman" w:hAnsi="Times New Roman"/>
              </w:rPr>
              <w:t>29.09.2025</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F6FFC" w14:textId="77777777" w:rsidR="001D45CA" w:rsidRDefault="001D45CA" w:rsidP="006B0230">
      <w:pPr>
        <w:spacing w:after="0" w:line="240" w:lineRule="auto"/>
      </w:pPr>
      <w:r>
        <w:separator/>
      </w:r>
    </w:p>
  </w:endnote>
  <w:endnote w:type="continuationSeparator" w:id="0">
    <w:p w14:paraId="61347F95" w14:textId="77777777" w:rsidR="001D45CA" w:rsidRDefault="001D45CA"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05F4E" w14:textId="77777777" w:rsidR="001D45CA" w:rsidRDefault="001D45CA" w:rsidP="006B0230">
      <w:pPr>
        <w:spacing w:after="0" w:line="240" w:lineRule="auto"/>
      </w:pPr>
      <w:r>
        <w:separator/>
      </w:r>
    </w:p>
  </w:footnote>
  <w:footnote w:type="continuationSeparator" w:id="0">
    <w:p w14:paraId="69E696BA" w14:textId="77777777" w:rsidR="001D45CA" w:rsidRDefault="001D45CA"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4F1F37B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CD269A" w:rsidRPr="00B97DD5">
        <w:rPr>
          <w:i/>
          <w:color w:val="7F7F7F" w:themeColor="text1" w:themeTint="80"/>
        </w:rPr>
        <w:t>Fundamentală / de speciali</w:t>
      </w:r>
      <w:r w:rsidR="00CD269A">
        <w:rPr>
          <w:i/>
          <w:color w:val="7F7F7F" w:themeColor="text1" w:themeTint="80"/>
        </w:rPr>
        <w:t>zare/ complementare</w:t>
      </w:r>
      <w:r w:rsidR="00CD269A"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0D864C5"/>
    <w:multiLevelType w:val="multilevel"/>
    <w:tmpl w:val="32D69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34DC1"/>
    <w:multiLevelType w:val="multilevel"/>
    <w:tmpl w:val="2FC89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357F5E"/>
    <w:multiLevelType w:val="hybridMultilevel"/>
    <w:tmpl w:val="0478D6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62713C"/>
    <w:multiLevelType w:val="multilevel"/>
    <w:tmpl w:val="C054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397EF3"/>
    <w:multiLevelType w:val="hybridMultilevel"/>
    <w:tmpl w:val="011277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E012A"/>
    <w:multiLevelType w:val="hybridMultilevel"/>
    <w:tmpl w:val="C35C3A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8993EF4"/>
    <w:multiLevelType w:val="multilevel"/>
    <w:tmpl w:val="A45C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474784"/>
    <w:multiLevelType w:val="multilevel"/>
    <w:tmpl w:val="CE14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8"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3985821"/>
    <w:multiLevelType w:val="hybridMultilevel"/>
    <w:tmpl w:val="83A86B7A"/>
    <w:lvl w:ilvl="0" w:tplc="A216AD50">
      <w:start w:val="1"/>
      <w:numFmt w:val="decimal"/>
      <w:lvlText w:val="%1."/>
      <w:lvlJc w:val="left"/>
      <w:pPr>
        <w:ind w:left="417" w:hanging="360"/>
      </w:pPr>
      <w:rPr>
        <w:rFonts w:hint="default"/>
      </w:rPr>
    </w:lvl>
    <w:lvl w:ilvl="1" w:tplc="04180019" w:tentative="1">
      <w:start w:val="1"/>
      <w:numFmt w:val="lowerLetter"/>
      <w:lvlText w:val="%2."/>
      <w:lvlJc w:val="left"/>
      <w:pPr>
        <w:ind w:left="1137" w:hanging="360"/>
      </w:pPr>
    </w:lvl>
    <w:lvl w:ilvl="2" w:tplc="0418001B" w:tentative="1">
      <w:start w:val="1"/>
      <w:numFmt w:val="lowerRoman"/>
      <w:lvlText w:val="%3."/>
      <w:lvlJc w:val="right"/>
      <w:pPr>
        <w:ind w:left="1857" w:hanging="180"/>
      </w:pPr>
    </w:lvl>
    <w:lvl w:ilvl="3" w:tplc="0418000F" w:tentative="1">
      <w:start w:val="1"/>
      <w:numFmt w:val="decimal"/>
      <w:lvlText w:val="%4."/>
      <w:lvlJc w:val="left"/>
      <w:pPr>
        <w:ind w:left="2577" w:hanging="360"/>
      </w:pPr>
    </w:lvl>
    <w:lvl w:ilvl="4" w:tplc="04180019" w:tentative="1">
      <w:start w:val="1"/>
      <w:numFmt w:val="lowerLetter"/>
      <w:lvlText w:val="%5."/>
      <w:lvlJc w:val="left"/>
      <w:pPr>
        <w:ind w:left="3297" w:hanging="360"/>
      </w:pPr>
    </w:lvl>
    <w:lvl w:ilvl="5" w:tplc="0418001B" w:tentative="1">
      <w:start w:val="1"/>
      <w:numFmt w:val="lowerRoman"/>
      <w:lvlText w:val="%6."/>
      <w:lvlJc w:val="right"/>
      <w:pPr>
        <w:ind w:left="4017" w:hanging="180"/>
      </w:pPr>
    </w:lvl>
    <w:lvl w:ilvl="6" w:tplc="0418000F" w:tentative="1">
      <w:start w:val="1"/>
      <w:numFmt w:val="decimal"/>
      <w:lvlText w:val="%7."/>
      <w:lvlJc w:val="left"/>
      <w:pPr>
        <w:ind w:left="4737" w:hanging="360"/>
      </w:pPr>
    </w:lvl>
    <w:lvl w:ilvl="7" w:tplc="04180019" w:tentative="1">
      <w:start w:val="1"/>
      <w:numFmt w:val="lowerLetter"/>
      <w:lvlText w:val="%8."/>
      <w:lvlJc w:val="left"/>
      <w:pPr>
        <w:ind w:left="5457" w:hanging="360"/>
      </w:pPr>
    </w:lvl>
    <w:lvl w:ilvl="8" w:tplc="0418001B" w:tentative="1">
      <w:start w:val="1"/>
      <w:numFmt w:val="lowerRoman"/>
      <w:lvlText w:val="%9."/>
      <w:lvlJc w:val="right"/>
      <w:pPr>
        <w:ind w:left="6177" w:hanging="180"/>
      </w:pPr>
    </w:lvl>
  </w:abstractNum>
  <w:abstractNum w:abstractNumId="3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4"/>
  </w:num>
  <w:num w:numId="3" w16cid:durableId="258608419">
    <w:abstractNumId w:val="10"/>
  </w:num>
  <w:num w:numId="4" w16cid:durableId="824277224">
    <w:abstractNumId w:val="25"/>
  </w:num>
  <w:num w:numId="5" w16cid:durableId="1395470212">
    <w:abstractNumId w:val="15"/>
  </w:num>
  <w:num w:numId="6" w16cid:durableId="1887570307">
    <w:abstractNumId w:val="1"/>
  </w:num>
  <w:num w:numId="7" w16cid:durableId="311913043">
    <w:abstractNumId w:val="3"/>
  </w:num>
  <w:num w:numId="8" w16cid:durableId="83376813">
    <w:abstractNumId w:val="11"/>
  </w:num>
  <w:num w:numId="9" w16cid:durableId="1415782996">
    <w:abstractNumId w:val="31"/>
  </w:num>
  <w:num w:numId="10" w16cid:durableId="115563253">
    <w:abstractNumId w:val="12"/>
  </w:num>
  <w:num w:numId="11" w16cid:durableId="1712412863">
    <w:abstractNumId w:val="4"/>
  </w:num>
  <w:num w:numId="12" w16cid:durableId="684669261">
    <w:abstractNumId w:val="27"/>
  </w:num>
  <w:num w:numId="13" w16cid:durableId="589778944">
    <w:abstractNumId w:val="17"/>
  </w:num>
  <w:num w:numId="14" w16cid:durableId="283855198">
    <w:abstractNumId w:val="19"/>
  </w:num>
  <w:num w:numId="15" w16cid:durableId="727650862">
    <w:abstractNumId w:val="18"/>
  </w:num>
  <w:num w:numId="16" w16cid:durableId="1808426706">
    <w:abstractNumId w:val="8"/>
  </w:num>
  <w:num w:numId="17" w16cid:durableId="582108211">
    <w:abstractNumId w:val="2"/>
  </w:num>
  <w:num w:numId="18" w16cid:durableId="471601454">
    <w:abstractNumId w:val="26"/>
  </w:num>
  <w:num w:numId="19" w16cid:durableId="222521144">
    <w:abstractNumId w:val="9"/>
  </w:num>
  <w:num w:numId="20" w16cid:durableId="1666738476">
    <w:abstractNumId w:val="28"/>
  </w:num>
  <w:num w:numId="21" w16cid:durableId="772676043">
    <w:abstractNumId w:val="6"/>
  </w:num>
  <w:num w:numId="22" w16cid:durableId="661348124">
    <w:abstractNumId w:val="32"/>
  </w:num>
  <w:num w:numId="23" w16cid:durableId="1415277359">
    <w:abstractNumId w:val="7"/>
  </w:num>
  <w:num w:numId="24" w16cid:durableId="2052487911">
    <w:abstractNumId w:val="30"/>
  </w:num>
  <w:num w:numId="25" w16cid:durableId="190190297">
    <w:abstractNumId w:val="29"/>
  </w:num>
  <w:num w:numId="26" w16cid:durableId="1445880183">
    <w:abstractNumId w:val="21"/>
  </w:num>
  <w:num w:numId="27" w16cid:durableId="310213471">
    <w:abstractNumId w:val="16"/>
  </w:num>
  <w:num w:numId="28" w16cid:durableId="931284154">
    <w:abstractNumId w:val="22"/>
  </w:num>
  <w:num w:numId="29" w16cid:durableId="1902249125">
    <w:abstractNumId w:val="13"/>
  </w:num>
  <w:num w:numId="30" w16cid:durableId="1100680259">
    <w:abstractNumId w:val="5"/>
  </w:num>
  <w:num w:numId="31" w16cid:durableId="1356997636">
    <w:abstractNumId w:val="24"/>
  </w:num>
  <w:num w:numId="32" w16cid:durableId="626005827">
    <w:abstractNumId w:val="20"/>
  </w:num>
  <w:num w:numId="33" w16cid:durableId="34552006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4FEB"/>
    <w:rsid w:val="00034F83"/>
    <w:rsid w:val="00042830"/>
    <w:rsid w:val="00046995"/>
    <w:rsid w:val="00051BDC"/>
    <w:rsid w:val="00056169"/>
    <w:rsid w:val="000564BC"/>
    <w:rsid w:val="00057E55"/>
    <w:rsid w:val="0007008C"/>
    <w:rsid w:val="0007194F"/>
    <w:rsid w:val="00072B00"/>
    <w:rsid w:val="00077E6C"/>
    <w:rsid w:val="0008078C"/>
    <w:rsid w:val="0008100D"/>
    <w:rsid w:val="00085094"/>
    <w:rsid w:val="00085D43"/>
    <w:rsid w:val="000A5A59"/>
    <w:rsid w:val="000B053A"/>
    <w:rsid w:val="000B1429"/>
    <w:rsid w:val="000B3BD0"/>
    <w:rsid w:val="000B6EB7"/>
    <w:rsid w:val="000C2BD3"/>
    <w:rsid w:val="000E0211"/>
    <w:rsid w:val="000E0F5C"/>
    <w:rsid w:val="000E3686"/>
    <w:rsid w:val="000E4FBF"/>
    <w:rsid w:val="00101A4C"/>
    <w:rsid w:val="001104F4"/>
    <w:rsid w:val="00114821"/>
    <w:rsid w:val="001177E6"/>
    <w:rsid w:val="001232AB"/>
    <w:rsid w:val="0013302B"/>
    <w:rsid w:val="00136B06"/>
    <w:rsid w:val="00140EB3"/>
    <w:rsid w:val="001414FA"/>
    <w:rsid w:val="0014451D"/>
    <w:rsid w:val="00153AA7"/>
    <w:rsid w:val="00155123"/>
    <w:rsid w:val="00161CC5"/>
    <w:rsid w:val="00162944"/>
    <w:rsid w:val="00182C22"/>
    <w:rsid w:val="001878EA"/>
    <w:rsid w:val="00196FD8"/>
    <w:rsid w:val="001A6CC3"/>
    <w:rsid w:val="001A7391"/>
    <w:rsid w:val="001B1709"/>
    <w:rsid w:val="001B1D5F"/>
    <w:rsid w:val="001B2D42"/>
    <w:rsid w:val="001B6453"/>
    <w:rsid w:val="001B7FAD"/>
    <w:rsid w:val="001C2A0D"/>
    <w:rsid w:val="001D45CA"/>
    <w:rsid w:val="001E4545"/>
    <w:rsid w:val="001E68EA"/>
    <w:rsid w:val="001F003F"/>
    <w:rsid w:val="001F1957"/>
    <w:rsid w:val="001F250F"/>
    <w:rsid w:val="001F4669"/>
    <w:rsid w:val="001F64E5"/>
    <w:rsid w:val="001F661E"/>
    <w:rsid w:val="002037F7"/>
    <w:rsid w:val="00204311"/>
    <w:rsid w:val="0020512B"/>
    <w:rsid w:val="00207A26"/>
    <w:rsid w:val="0021418D"/>
    <w:rsid w:val="00225272"/>
    <w:rsid w:val="00235F03"/>
    <w:rsid w:val="00241E04"/>
    <w:rsid w:val="00246F30"/>
    <w:rsid w:val="002522F4"/>
    <w:rsid w:val="00253624"/>
    <w:rsid w:val="002625B0"/>
    <w:rsid w:val="00267ECC"/>
    <w:rsid w:val="0027455B"/>
    <w:rsid w:val="002812A5"/>
    <w:rsid w:val="00283274"/>
    <w:rsid w:val="00285303"/>
    <w:rsid w:val="00287260"/>
    <w:rsid w:val="00291777"/>
    <w:rsid w:val="00294A50"/>
    <w:rsid w:val="002A0A18"/>
    <w:rsid w:val="002A0FC9"/>
    <w:rsid w:val="002A2A27"/>
    <w:rsid w:val="002B2D67"/>
    <w:rsid w:val="002B3278"/>
    <w:rsid w:val="002C3E30"/>
    <w:rsid w:val="002C5D1B"/>
    <w:rsid w:val="002C7828"/>
    <w:rsid w:val="002C7C5A"/>
    <w:rsid w:val="002D5B8A"/>
    <w:rsid w:val="002D606A"/>
    <w:rsid w:val="002E3E12"/>
    <w:rsid w:val="002E5ECA"/>
    <w:rsid w:val="002F0971"/>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C75"/>
    <w:rsid w:val="003665AD"/>
    <w:rsid w:val="003679B5"/>
    <w:rsid w:val="003806E1"/>
    <w:rsid w:val="0038646E"/>
    <w:rsid w:val="00390878"/>
    <w:rsid w:val="003A44E3"/>
    <w:rsid w:val="003B55E2"/>
    <w:rsid w:val="003B5A02"/>
    <w:rsid w:val="003B7974"/>
    <w:rsid w:val="003C430C"/>
    <w:rsid w:val="003C6DC8"/>
    <w:rsid w:val="003D0D85"/>
    <w:rsid w:val="003D1D3B"/>
    <w:rsid w:val="003D58E7"/>
    <w:rsid w:val="003E4A22"/>
    <w:rsid w:val="003E4B11"/>
    <w:rsid w:val="003E72A5"/>
    <w:rsid w:val="003E73A6"/>
    <w:rsid w:val="003E7F77"/>
    <w:rsid w:val="003F253C"/>
    <w:rsid w:val="003F49D3"/>
    <w:rsid w:val="00405D76"/>
    <w:rsid w:val="00414517"/>
    <w:rsid w:val="0042161F"/>
    <w:rsid w:val="00426218"/>
    <w:rsid w:val="00427B4D"/>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135F2"/>
    <w:rsid w:val="00525BD0"/>
    <w:rsid w:val="00530A49"/>
    <w:rsid w:val="00532F3D"/>
    <w:rsid w:val="00533EB9"/>
    <w:rsid w:val="00536B72"/>
    <w:rsid w:val="00563549"/>
    <w:rsid w:val="00576EC0"/>
    <w:rsid w:val="0058346F"/>
    <w:rsid w:val="00585222"/>
    <w:rsid w:val="005976E7"/>
    <w:rsid w:val="005A12E1"/>
    <w:rsid w:val="005A4B4E"/>
    <w:rsid w:val="005A7F8C"/>
    <w:rsid w:val="005B402D"/>
    <w:rsid w:val="005C23EC"/>
    <w:rsid w:val="005D2AE2"/>
    <w:rsid w:val="005E20A7"/>
    <w:rsid w:val="006075EF"/>
    <w:rsid w:val="00614FD8"/>
    <w:rsid w:val="00630381"/>
    <w:rsid w:val="00637494"/>
    <w:rsid w:val="00637B47"/>
    <w:rsid w:val="00640429"/>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0A9E"/>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312B"/>
    <w:rsid w:val="007740E0"/>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7E9"/>
    <w:rsid w:val="008043E3"/>
    <w:rsid w:val="00804A3A"/>
    <w:rsid w:val="008061BA"/>
    <w:rsid w:val="00810D30"/>
    <w:rsid w:val="00816871"/>
    <w:rsid w:val="00816B11"/>
    <w:rsid w:val="00816EC6"/>
    <w:rsid w:val="00817309"/>
    <w:rsid w:val="0082320E"/>
    <w:rsid w:val="00827BE0"/>
    <w:rsid w:val="0083153A"/>
    <w:rsid w:val="008358BB"/>
    <w:rsid w:val="00835EAD"/>
    <w:rsid w:val="008421F0"/>
    <w:rsid w:val="00843C53"/>
    <w:rsid w:val="00850EF4"/>
    <w:rsid w:val="00853A0A"/>
    <w:rsid w:val="00854611"/>
    <w:rsid w:val="008560F4"/>
    <w:rsid w:val="00856791"/>
    <w:rsid w:val="00860132"/>
    <w:rsid w:val="00861CAE"/>
    <w:rsid w:val="008712DB"/>
    <w:rsid w:val="00873DD5"/>
    <w:rsid w:val="00881875"/>
    <w:rsid w:val="00884244"/>
    <w:rsid w:val="00893596"/>
    <w:rsid w:val="00897094"/>
    <w:rsid w:val="00897E4F"/>
    <w:rsid w:val="008A1E7A"/>
    <w:rsid w:val="008A7114"/>
    <w:rsid w:val="008B33BB"/>
    <w:rsid w:val="008B4A1F"/>
    <w:rsid w:val="008B5BEA"/>
    <w:rsid w:val="008C09D4"/>
    <w:rsid w:val="008C3D44"/>
    <w:rsid w:val="008D1A77"/>
    <w:rsid w:val="008D3650"/>
    <w:rsid w:val="008D49B5"/>
    <w:rsid w:val="008D7937"/>
    <w:rsid w:val="008E4BB6"/>
    <w:rsid w:val="008E51C6"/>
    <w:rsid w:val="008E5CBA"/>
    <w:rsid w:val="008E6270"/>
    <w:rsid w:val="008F44F6"/>
    <w:rsid w:val="008F48E0"/>
    <w:rsid w:val="0091383B"/>
    <w:rsid w:val="00916D13"/>
    <w:rsid w:val="00924485"/>
    <w:rsid w:val="00926C0E"/>
    <w:rsid w:val="00930CE9"/>
    <w:rsid w:val="00932625"/>
    <w:rsid w:val="00935D20"/>
    <w:rsid w:val="00945F4B"/>
    <w:rsid w:val="0094747F"/>
    <w:rsid w:val="00947536"/>
    <w:rsid w:val="00957148"/>
    <w:rsid w:val="00961F3C"/>
    <w:rsid w:val="00962A3E"/>
    <w:rsid w:val="009739F4"/>
    <w:rsid w:val="00975323"/>
    <w:rsid w:val="00983065"/>
    <w:rsid w:val="00994E0F"/>
    <w:rsid w:val="009A162C"/>
    <w:rsid w:val="009A64D0"/>
    <w:rsid w:val="009B0688"/>
    <w:rsid w:val="009B3C4D"/>
    <w:rsid w:val="009B449A"/>
    <w:rsid w:val="009C1184"/>
    <w:rsid w:val="009C6E3E"/>
    <w:rsid w:val="009C7988"/>
    <w:rsid w:val="009E64C2"/>
    <w:rsid w:val="009E6519"/>
    <w:rsid w:val="009F003A"/>
    <w:rsid w:val="009F0441"/>
    <w:rsid w:val="009F2776"/>
    <w:rsid w:val="009F3B07"/>
    <w:rsid w:val="00A1304B"/>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18EA"/>
    <w:rsid w:val="00A93E6C"/>
    <w:rsid w:val="00A94851"/>
    <w:rsid w:val="00A97B4B"/>
    <w:rsid w:val="00AA5BBD"/>
    <w:rsid w:val="00AB18CF"/>
    <w:rsid w:val="00AB36EF"/>
    <w:rsid w:val="00AB4BB4"/>
    <w:rsid w:val="00AB549C"/>
    <w:rsid w:val="00AD3AF6"/>
    <w:rsid w:val="00AD46A4"/>
    <w:rsid w:val="00AD48B4"/>
    <w:rsid w:val="00AD6760"/>
    <w:rsid w:val="00AE0EFD"/>
    <w:rsid w:val="00B0093F"/>
    <w:rsid w:val="00B12A1B"/>
    <w:rsid w:val="00B13421"/>
    <w:rsid w:val="00B33D7D"/>
    <w:rsid w:val="00B34B0F"/>
    <w:rsid w:val="00B4650B"/>
    <w:rsid w:val="00B47D52"/>
    <w:rsid w:val="00B53C95"/>
    <w:rsid w:val="00B54B49"/>
    <w:rsid w:val="00B559AB"/>
    <w:rsid w:val="00B609FA"/>
    <w:rsid w:val="00B7109F"/>
    <w:rsid w:val="00B7391E"/>
    <w:rsid w:val="00B73C84"/>
    <w:rsid w:val="00B74967"/>
    <w:rsid w:val="00B91DB1"/>
    <w:rsid w:val="00B95F96"/>
    <w:rsid w:val="00B96466"/>
    <w:rsid w:val="00B97DD5"/>
    <w:rsid w:val="00BA0EDC"/>
    <w:rsid w:val="00BB50D8"/>
    <w:rsid w:val="00BC246B"/>
    <w:rsid w:val="00BC54CA"/>
    <w:rsid w:val="00BD7432"/>
    <w:rsid w:val="00BE0C98"/>
    <w:rsid w:val="00BF7A16"/>
    <w:rsid w:val="00C016EB"/>
    <w:rsid w:val="00C036D6"/>
    <w:rsid w:val="00C116E4"/>
    <w:rsid w:val="00C1183D"/>
    <w:rsid w:val="00C14143"/>
    <w:rsid w:val="00C1599F"/>
    <w:rsid w:val="00C17415"/>
    <w:rsid w:val="00C26673"/>
    <w:rsid w:val="00C33B75"/>
    <w:rsid w:val="00C36E73"/>
    <w:rsid w:val="00C37AFA"/>
    <w:rsid w:val="00C424BD"/>
    <w:rsid w:val="00C44ACD"/>
    <w:rsid w:val="00C62788"/>
    <w:rsid w:val="00C62D93"/>
    <w:rsid w:val="00C67C8A"/>
    <w:rsid w:val="00C747B5"/>
    <w:rsid w:val="00C766FA"/>
    <w:rsid w:val="00C83775"/>
    <w:rsid w:val="00C85AC1"/>
    <w:rsid w:val="00C977FC"/>
    <w:rsid w:val="00CA4954"/>
    <w:rsid w:val="00CA7575"/>
    <w:rsid w:val="00CB5500"/>
    <w:rsid w:val="00CB6041"/>
    <w:rsid w:val="00CB707D"/>
    <w:rsid w:val="00CC09F3"/>
    <w:rsid w:val="00CC6774"/>
    <w:rsid w:val="00CD05ED"/>
    <w:rsid w:val="00CD269A"/>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540"/>
    <w:rsid w:val="00D27F89"/>
    <w:rsid w:val="00D31C96"/>
    <w:rsid w:val="00D334C7"/>
    <w:rsid w:val="00D3554F"/>
    <w:rsid w:val="00D369A3"/>
    <w:rsid w:val="00D41E43"/>
    <w:rsid w:val="00D434C7"/>
    <w:rsid w:val="00D455BF"/>
    <w:rsid w:val="00D46EF7"/>
    <w:rsid w:val="00D605BE"/>
    <w:rsid w:val="00D618A9"/>
    <w:rsid w:val="00D7773C"/>
    <w:rsid w:val="00D814F4"/>
    <w:rsid w:val="00D82786"/>
    <w:rsid w:val="00D85A8D"/>
    <w:rsid w:val="00D87395"/>
    <w:rsid w:val="00D93C5F"/>
    <w:rsid w:val="00DA31C6"/>
    <w:rsid w:val="00DA433D"/>
    <w:rsid w:val="00DB2E68"/>
    <w:rsid w:val="00DC2572"/>
    <w:rsid w:val="00DC450D"/>
    <w:rsid w:val="00DC71AF"/>
    <w:rsid w:val="00DD2B25"/>
    <w:rsid w:val="00DD532D"/>
    <w:rsid w:val="00DE3F01"/>
    <w:rsid w:val="00DF11DA"/>
    <w:rsid w:val="00DF2EBE"/>
    <w:rsid w:val="00DF6ACB"/>
    <w:rsid w:val="00E017F8"/>
    <w:rsid w:val="00E01B3A"/>
    <w:rsid w:val="00E02214"/>
    <w:rsid w:val="00E037F6"/>
    <w:rsid w:val="00E07E6D"/>
    <w:rsid w:val="00E10ACB"/>
    <w:rsid w:val="00E116EB"/>
    <w:rsid w:val="00E1550B"/>
    <w:rsid w:val="00E20BD3"/>
    <w:rsid w:val="00E31041"/>
    <w:rsid w:val="00E3142E"/>
    <w:rsid w:val="00E31EBB"/>
    <w:rsid w:val="00E351E5"/>
    <w:rsid w:val="00E352FA"/>
    <w:rsid w:val="00E437C3"/>
    <w:rsid w:val="00E470EE"/>
    <w:rsid w:val="00E5135C"/>
    <w:rsid w:val="00E5213F"/>
    <w:rsid w:val="00E56AA2"/>
    <w:rsid w:val="00E6114C"/>
    <w:rsid w:val="00E70E1A"/>
    <w:rsid w:val="00E71898"/>
    <w:rsid w:val="00E80DB9"/>
    <w:rsid w:val="00E85268"/>
    <w:rsid w:val="00E855E1"/>
    <w:rsid w:val="00E85C51"/>
    <w:rsid w:val="00E87AFB"/>
    <w:rsid w:val="00E91F96"/>
    <w:rsid w:val="00E97EE0"/>
    <w:rsid w:val="00EA0AA9"/>
    <w:rsid w:val="00EA35DA"/>
    <w:rsid w:val="00EA497C"/>
    <w:rsid w:val="00EA7321"/>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3368"/>
    <w:rsid w:val="00F27495"/>
    <w:rsid w:val="00F31C12"/>
    <w:rsid w:val="00F34143"/>
    <w:rsid w:val="00F352DE"/>
    <w:rsid w:val="00F36204"/>
    <w:rsid w:val="00F36AE2"/>
    <w:rsid w:val="00F413D2"/>
    <w:rsid w:val="00F43691"/>
    <w:rsid w:val="00F50D8A"/>
    <w:rsid w:val="00F51B11"/>
    <w:rsid w:val="00F56343"/>
    <w:rsid w:val="00F74C37"/>
    <w:rsid w:val="00F77194"/>
    <w:rsid w:val="00F901F2"/>
    <w:rsid w:val="00F9041E"/>
    <w:rsid w:val="00F90C98"/>
    <w:rsid w:val="00F9613F"/>
    <w:rsid w:val="00F972C4"/>
    <w:rsid w:val="00FA037A"/>
    <w:rsid w:val="00FA0ADD"/>
    <w:rsid w:val="00FA52D0"/>
    <w:rsid w:val="00FA53B9"/>
    <w:rsid w:val="00FA71C0"/>
    <w:rsid w:val="00FB3BF1"/>
    <w:rsid w:val="00FB4ADB"/>
    <w:rsid w:val="00FB55B0"/>
    <w:rsid w:val="00FB608B"/>
    <w:rsid w:val="00FB6888"/>
    <w:rsid w:val="00FB7977"/>
    <w:rsid w:val="00FC4935"/>
    <w:rsid w:val="00FC63E9"/>
    <w:rsid w:val="00FC7991"/>
    <w:rsid w:val="00FD0711"/>
    <w:rsid w:val="00FD4111"/>
    <w:rsid w:val="00FD54D5"/>
    <w:rsid w:val="00FD5B5D"/>
    <w:rsid w:val="00FD7DF0"/>
    <w:rsid w:val="00FD7E0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styleId="UnresolvedMention">
    <w:name w:val="Unresolved Mention"/>
    <w:basedOn w:val="DefaultParagraphFont"/>
    <w:uiPriority w:val="99"/>
    <w:semiHidden/>
    <w:unhideWhenUsed/>
    <w:rsid w:val="00BF7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29475">
      <w:bodyDiv w:val="1"/>
      <w:marLeft w:val="0"/>
      <w:marRight w:val="0"/>
      <w:marTop w:val="0"/>
      <w:marBottom w:val="0"/>
      <w:divBdr>
        <w:top w:val="none" w:sz="0" w:space="0" w:color="auto"/>
        <w:left w:val="none" w:sz="0" w:space="0" w:color="auto"/>
        <w:bottom w:val="none" w:sz="0" w:space="0" w:color="auto"/>
        <w:right w:val="none" w:sz="0" w:space="0" w:color="auto"/>
      </w:divBdr>
    </w:div>
    <w:div w:id="293147633">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40340721">
      <w:bodyDiv w:val="1"/>
      <w:marLeft w:val="0"/>
      <w:marRight w:val="0"/>
      <w:marTop w:val="0"/>
      <w:marBottom w:val="0"/>
      <w:divBdr>
        <w:top w:val="none" w:sz="0" w:space="0" w:color="auto"/>
        <w:left w:val="none" w:sz="0" w:space="0" w:color="auto"/>
        <w:bottom w:val="none" w:sz="0" w:space="0" w:color="auto"/>
        <w:right w:val="none" w:sz="0" w:space="0" w:color="auto"/>
      </w:divBdr>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362051804">
      <w:bodyDiv w:val="1"/>
      <w:marLeft w:val="0"/>
      <w:marRight w:val="0"/>
      <w:marTop w:val="0"/>
      <w:marBottom w:val="0"/>
      <w:divBdr>
        <w:top w:val="none" w:sz="0" w:space="0" w:color="auto"/>
        <w:left w:val="none" w:sz="0" w:space="0" w:color="auto"/>
        <w:bottom w:val="none" w:sz="0" w:space="0" w:color="auto"/>
        <w:right w:val="none" w:sz="0" w:space="0" w:color="auto"/>
      </w:divBdr>
    </w:div>
    <w:div w:id="1521778227">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1944730139">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 w:id="211701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v-montp3.fr/uoh/politiques_linguistiqu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hs.cairn.info/revue-langage-et-societe-2021-HS1-page-275?lang=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x.doi.org/10.4000/glottopol.834" TargetMode="External"/><Relationship Id="rId5" Type="http://schemas.openxmlformats.org/officeDocument/2006/relationships/numbering" Target="numbering.xml"/><Relationship Id="rId15" Type="http://schemas.openxmlformats.org/officeDocument/2006/relationships/hyperlink" Target="https://dx.doi.org/10.4000/glottopol.1826"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x.doi.org/10.4000/glottopol.165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Pages>
  <Words>1736</Words>
  <Characters>9898</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42</cp:revision>
  <dcterms:created xsi:type="dcterms:W3CDTF">2025-06-05T05:58:00Z</dcterms:created>
  <dcterms:modified xsi:type="dcterms:W3CDTF">2025-10-28T06:16:00Z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